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773" w:rsidRDefault="00CA3773" w:rsidP="00CA3773">
      <w:pPr>
        <w:pStyle w:val="Tekstpodstawowy"/>
        <w:spacing w:before="120"/>
        <w:jc w:val="both"/>
        <w:rPr>
          <w:i/>
          <w:sz w:val="22"/>
        </w:rPr>
      </w:pPr>
      <w:r>
        <w:rPr>
          <w:i/>
          <w:sz w:val="22"/>
        </w:rPr>
        <w:t>Załą</w:t>
      </w:r>
      <w:r w:rsidRPr="00765E3D">
        <w:rPr>
          <w:i/>
          <w:sz w:val="22"/>
        </w:rPr>
        <w:t>cznik nr 1 do SWZ</w:t>
      </w:r>
    </w:p>
    <w:p w:rsidR="00CA3773" w:rsidRPr="00A90F87" w:rsidRDefault="00AE1C4C" w:rsidP="00BB65CB">
      <w:pPr>
        <w:pStyle w:val="Legenda"/>
        <w:jc w:val="both"/>
        <w:rPr>
          <w:rFonts w:eastAsia="Lucida Sans Unicode"/>
          <w:b w:val="0"/>
          <w:kern w:val="2"/>
          <w:sz w:val="22"/>
          <w:szCs w:val="22"/>
          <w:lang w:eastAsia="ar-SA"/>
        </w:rPr>
      </w:pPr>
      <w:r w:rsidRPr="00AE1C4C">
        <w:rPr>
          <w:sz w:val="22"/>
          <w:szCs w:val="22"/>
        </w:rPr>
        <w:t xml:space="preserve">Kardiowertery-defibrylatory jednojamowe  umożliwiające podgląd IEGM przedsionka z możliwością prowadzenia badań MRI po wszczepieniu </w:t>
      </w:r>
    </w:p>
    <w:p w:rsidR="00CA3773" w:rsidRPr="00A90F87" w:rsidRDefault="00CA3773" w:rsidP="00CA3773">
      <w:pPr>
        <w:overflowPunct/>
        <w:autoSpaceDE/>
        <w:autoSpaceDN/>
        <w:adjustRightInd/>
        <w:textAlignment w:val="auto"/>
        <w:rPr>
          <w:rFonts w:eastAsia="Lucida Sans Unicode"/>
          <w:kern w:val="2"/>
          <w:sz w:val="22"/>
          <w:szCs w:val="22"/>
          <w:lang w:eastAsia="ar-SA"/>
        </w:rPr>
      </w:pPr>
    </w:p>
    <w:tbl>
      <w:tblPr>
        <w:tblpPr w:leftFromText="141" w:rightFromText="141" w:vertAnchor="text" w:horzAnchor="margin" w:tblpXSpec="center" w:tblpY="7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02"/>
        <w:gridCol w:w="708"/>
        <w:gridCol w:w="690"/>
        <w:gridCol w:w="720"/>
        <w:gridCol w:w="900"/>
        <w:gridCol w:w="951"/>
        <w:gridCol w:w="992"/>
        <w:gridCol w:w="1347"/>
      </w:tblGrid>
      <w:tr w:rsidR="00AE1C4C" w:rsidRPr="006E65D6" w:rsidTr="00C63C4E">
        <w:trPr>
          <w:cantSplit/>
          <w:trHeight w:val="660"/>
        </w:trPr>
        <w:tc>
          <w:tcPr>
            <w:tcW w:w="496"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L.P.</w:t>
            </w:r>
          </w:p>
        </w:tc>
        <w:tc>
          <w:tcPr>
            <w:tcW w:w="3402"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ASORTYMENT</w:t>
            </w:r>
          </w:p>
          <w:p w:rsidR="00AE1C4C" w:rsidRPr="007D0251" w:rsidRDefault="00AE1C4C" w:rsidP="00D77C99">
            <w:pPr>
              <w:jc w:val="center"/>
              <w:rPr>
                <w:b/>
                <w:sz w:val="16"/>
                <w:szCs w:val="16"/>
              </w:rPr>
            </w:pPr>
            <w:r w:rsidRPr="007D0251">
              <w:rPr>
                <w:b/>
                <w:sz w:val="16"/>
                <w:szCs w:val="16"/>
              </w:rPr>
              <w:t>SZCZEGÓŁOWY</w:t>
            </w:r>
          </w:p>
        </w:tc>
        <w:tc>
          <w:tcPr>
            <w:tcW w:w="708" w:type="dxa"/>
          </w:tcPr>
          <w:p w:rsidR="00AE1C4C" w:rsidRPr="007D0251" w:rsidRDefault="00AE1C4C" w:rsidP="00D77C99">
            <w:pPr>
              <w:jc w:val="center"/>
              <w:rPr>
                <w:b/>
                <w:sz w:val="16"/>
                <w:szCs w:val="16"/>
              </w:rPr>
            </w:pPr>
          </w:p>
          <w:p w:rsidR="00AE1C4C" w:rsidRPr="007D0251" w:rsidRDefault="00AE1C4C" w:rsidP="00C63C4E">
            <w:pPr>
              <w:jc w:val="center"/>
              <w:rPr>
                <w:b/>
                <w:sz w:val="16"/>
                <w:szCs w:val="16"/>
              </w:rPr>
            </w:pPr>
            <w:r w:rsidRPr="007D0251">
              <w:rPr>
                <w:b/>
                <w:sz w:val="16"/>
                <w:szCs w:val="16"/>
              </w:rPr>
              <w:t>J</w:t>
            </w:r>
            <w:r w:rsidR="00C63C4E">
              <w:rPr>
                <w:b/>
                <w:sz w:val="16"/>
                <w:szCs w:val="16"/>
              </w:rPr>
              <w:t>EDN.</w:t>
            </w:r>
            <w:r w:rsidRPr="007D0251">
              <w:rPr>
                <w:b/>
                <w:sz w:val="16"/>
                <w:szCs w:val="16"/>
              </w:rPr>
              <w:t>M</w:t>
            </w:r>
            <w:r w:rsidR="00C63C4E">
              <w:rPr>
                <w:b/>
                <w:sz w:val="16"/>
                <w:szCs w:val="16"/>
              </w:rPr>
              <w:t>IARY</w:t>
            </w:r>
          </w:p>
        </w:tc>
        <w:tc>
          <w:tcPr>
            <w:tcW w:w="690"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ILOŚĆ</w:t>
            </w:r>
          </w:p>
          <w:p w:rsidR="00AE1C4C" w:rsidRPr="007D0251" w:rsidRDefault="00AE1C4C" w:rsidP="00D77C99">
            <w:pPr>
              <w:jc w:val="center"/>
              <w:rPr>
                <w:b/>
                <w:sz w:val="16"/>
                <w:szCs w:val="16"/>
              </w:rPr>
            </w:pPr>
          </w:p>
        </w:tc>
        <w:tc>
          <w:tcPr>
            <w:tcW w:w="720"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CENA  NETTO</w:t>
            </w:r>
          </w:p>
        </w:tc>
        <w:tc>
          <w:tcPr>
            <w:tcW w:w="900"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CENA  BRUTTO</w:t>
            </w:r>
          </w:p>
        </w:tc>
        <w:tc>
          <w:tcPr>
            <w:tcW w:w="951"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WARTOŚĆ NETTO</w:t>
            </w:r>
          </w:p>
        </w:tc>
        <w:tc>
          <w:tcPr>
            <w:tcW w:w="992" w:type="dxa"/>
          </w:tcPr>
          <w:p w:rsidR="00AE1C4C" w:rsidRPr="007D0251" w:rsidRDefault="00AE1C4C" w:rsidP="00D77C99">
            <w:pPr>
              <w:jc w:val="center"/>
              <w:rPr>
                <w:b/>
                <w:sz w:val="16"/>
                <w:szCs w:val="16"/>
              </w:rPr>
            </w:pPr>
          </w:p>
          <w:p w:rsidR="00AE1C4C" w:rsidRPr="007D0251" w:rsidRDefault="00AE1C4C" w:rsidP="00D77C99">
            <w:pPr>
              <w:jc w:val="center"/>
              <w:rPr>
                <w:b/>
                <w:sz w:val="16"/>
                <w:szCs w:val="16"/>
              </w:rPr>
            </w:pPr>
            <w:r w:rsidRPr="007D0251">
              <w:rPr>
                <w:b/>
                <w:sz w:val="16"/>
                <w:szCs w:val="16"/>
              </w:rPr>
              <w:t>WARTOŚĆ BRUTTO</w:t>
            </w:r>
          </w:p>
        </w:tc>
        <w:tc>
          <w:tcPr>
            <w:tcW w:w="1347" w:type="dxa"/>
          </w:tcPr>
          <w:p w:rsidR="00AE1C4C" w:rsidRPr="007D0251" w:rsidRDefault="00AE1C4C" w:rsidP="00D77C99">
            <w:pPr>
              <w:jc w:val="center"/>
              <w:rPr>
                <w:b/>
                <w:sz w:val="16"/>
                <w:szCs w:val="16"/>
              </w:rPr>
            </w:pPr>
          </w:p>
          <w:p w:rsidR="00C63C4E" w:rsidRDefault="00AE1C4C" w:rsidP="00D77C99">
            <w:pPr>
              <w:jc w:val="center"/>
              <w:rPr>
                <w:b/>
                <w:sz w:val="16"/>
                <w:szCs w:val="16"/>
              </w:rPr>
            </w:pPr>
            <w:r w:rsidRPr="007D0251">
              <w:rPr>
                <w:b/>
                <w:sz w:val="16"/>
                <w:szCs w:val="16"/>
              </w:rPr>
              <w:t>PRODUCENT/</w:t>
            </w:r>
          </w:p>
          <w:p w:rsidR="00AE1C4C" w:rsidRPr="007D0251" w:rsidRDefault="00AE1C4C" w:rsidP="00D77C99">
            <w:pPr>
              <w:jc w:val="center"/>
              <w:rPr>
                <w:b/>
                <w:sz w:val="16"/>
                <w:szCs w:val="16"/>
              </w:rPr>
            </w:pPr>
            <w:r w:rsidRPr="007D0251">
              <w:rPr>
                <w:b/>
                <w:sz w:val="16"/>
                <w:szCs w:val="16"/>
              </w:rPr>
              <w:t>NR KATALOGOWY</w:t>
            </w:r>
          </w:p>
          <w:p w:rsidR="00AE1C4C" w:rsidRPr="007D0251" w:rsidRDefault="00AE1C4C" w:rsidP="00D77C99">
            <w:pPr>
              <w:jc w:val="center"/>
              <w:rPr>
                <w:b/>
                <w:sz w:val="16"/>
                <w:szCs w:val="16"/>
              </w:rPr>
            </w:pPr>
          </w:p>
        </w:tc>
      </w:tr>
      <w:tr w:rsidR="00AE1C4C" w:rsidRPr="006E65D6" w:rsidTr="00C63C4E">
        <w:trPr>
          <w:cantSplit/>
          <w:trHeight w:val="660"/>
        </w:trPr>
        <w:tc>
          <w:tcPr>
            <w:tcW w:w="496" w:type="dxa"/>
            <w:vAlign w:val="center"/>
          </w:tcPr>
          <w:p w:rsidR="00AE1C4C" w:rsidRPr="00AE1C4C" w:rsidRDefault="00AE1C4C" w:rsidP="00D77C99">
            <w:pPr>
              <w:jc w:val="center"/>
              <w:rPr>
                <w:rFonts w:asciiTheme="minorHAnsi" w:hAnsiTheme="minorHAnsi" w:cs="Arial"/>
                <w:b/>
                <w:sz w:val="22"/>
                <w:szCs w:val="22"/>
              </w:rPr>
            </w:pPr>
            <w:r w:rsidRPr="00AE1C4C">
              <w:rPr>
                <w:rFonts w:asciiTheme="minorHAnsi" w:hAnsiTheme="minorHAnsi" w:cs="Arial"/>
                <w:b/>
                <w:sz w:val="22"/>
                <w:szCs w:val="22"/>
              </w:rPr>
              <w:t>1.</w:t>
            </w:r>
          </w:p>
        </w:tc>
        <w:tc>
          <w:tcPr>
            <w:tcW w:w="3402" w:type="dxa"/>
            <w:vAlign w:val="center"/>
          </w:tcPr>
          <w:p w:rsidR="007D0251" w:rsidRPr="007D0251" w:rsidRDefault="007D0251" w:rsidP="007D0251">
            <w:pPr>
              <w:pStyle w:val="Legenda"/>
              <w:jc w:val="both"/>
              <w:rPr>
                <w:b w:val="0"/>
                <w:sz w:val="22"/>
                <w:szCs w:val="22"/>
              </w:rPr>
            </w:pPr>
            <w:r w:rsidRPr="007D0251">
              <w:rPr>
                <w:b w:val="0"/>
                <w:sz w:val="22"/>
                <w:szCs w:val="22"/>
              </w:rPr>
              <w:t xml:space="preserve">Kardiowertery-defibrylatory jednojamowe  umożliwiające podgląd IEGM przedsionka z możliwością prowadzenia badań MRI po wszczepieniu </w:t>
            </w:r>
          </w:p>
          <w:p w:rsidR="00AE1C4C" w:rsidRPr="00AE1C4C" w:rsidRDefault="00AE1C4C" w:rsidP="00AE1C4C">
            <w:pPr>
              <w:jc w:val="center"/>
              <w:rPr>
                <w:rFonts w:asciiTheme="minorHAnsi" w:hAnsiTheme="minorHAnsi"/>
                <w:b/>
                <w:sz w:val="22"/>
                <w:szCs w:val="22"/>
              </w:rPr>
            </w:pPr>
          </w:p>
        </w:tc>
        <w:tc>
          <w:tcPr>
            <w:tcW w:w="708" w:type="dxa"/>
            <w:vAlign w:val="center"/>
          </w:tcPr>
          <w:p w:rsidR="00AE1C4C" w:rsidRPr="007D0251" w:rsidRDefault="00B51CF3" w:rsidP="00D77C99">
            <w:pPr>
              <w:jc w:val="center"/>
              <w:rPr>
                <w:b/>
                <w:sz w:val="22"/>
                <w:szCs w:val="22"/>
              </w:rPr>
            </w:pPr>
            <w:r>
              <w:rPr>
                <w:b/>
                <w:sz w:val="22"/>
                <w:szCs w:val="22"/>
              </w:rPr>
              <w:t>s</w:t>
            </w:r>
            <w:r w:rsidR="00AE1C4C" w:rsidRPr="007D0251">
              <w:rPr>
                <w:b/>
                <w:sz w:val="22"/>
                <w:szCs w:val="22"/>
              </w:rPr>
              <w:t>zt</w:t>
            </w:r>
            <w:r>
              <w:rPr>
                <w:b/>
                <w:sz w:val="22"/>
                <w:szCs w:val="22"/>
              </w:rPr>
              <w:t>.</w:t>
            </w:r>
          </w:p>
        </w:tc>
        <w:tc>
          <w:tcPr>
            <w:tcW w:w="690" w:type="dxa"/>
            <w:vAlign w:val="center"/>
          </w:tcPr>
          <w:p w:rsidR="00AE1C4C" w:rsidRPr="00B51CF3" w:rsidRDefault="00B51CF3" w:rsidP="00D77C99">
            <w:pPr>
              <w:jc w:val="center"/>
              <w:rPr>
                <w:b/>
                <w:sz w:val="22"/>
                <w:szCs w:val="22"/>
              </w:rPr>
            </w:pPr>
            <w:r w:rsidRPr="00B51CF3">
              <w:rPr>
                <w:b/>
                <w:sz w:val="22"/>
                <w:szCs w:val="22"/>
              </w:rPr>
              <w:t>40</w:t>
            </w:r>
          </w:p>
        </w:tc>
        <w:tc>
          <w:tcPr>
            <w:tcW w:w="720" w:type="dxa"/>
            <w:vAlign w:val="center"/>
          </w:tcPr>
          <w:p w:rsidR="00AE1C4C" w:rsidRPr="00B51CF3" w:rsidRDefault="00AE1C4C" w:rsidP="00D77C99">
            <w:pPr>
              <w:jc w:val="center"/>
              <w:rPr>
                <w:b/>
                <w:sz w:val="22"/>
                <w:szCs w:val="22"/>
              </w:rPr>
            </w:pPr>
          </w:p>
        </w:tc>
        <w:tc>
          <w:tcPr>
            <w:tcW w:w="900" w:type="dxa"/>
            <w:vAlign w:val="center"/>
          </w:tcPr>
          <w:p w:rsidR="00AE1C4C" w:rsidRPr="00AE1C4C" w:rsidRDefault="00AE1C4C" w:rsidP="00D77C99">
            <w:pPr>
              <w:jc w:val="center"/>
              <w:rPr>
                <w:rFonts w:asciiTheme="minorHAnsi" w:hAnsiTheme="minorHAnsi"/>
                <w:b/>
                <w:sz w:val="22"/>
                <w:szCs w:val="22"/>
              </w:rPr>
            </w:pPr>
          </w:p>
        </w:tc>
        <w:tc>
          <w:tcPr>
            <w:tcW w:w="951" w:type="dxa"/>
            <w:vAlign w:val="center"/>
          </w:tcPr>
          <w:p w:rsidR="00AE1C4C" w:rsidRPr="00AE1C4C" w:rsidRDefault="00AE1C4C" w:rsidP="00D77C99">
            <w:pPr>
              <w:jc w:val="center"/>
              <w:rPr>
                <w:rFonts w:asciiTheme="minorHAnsi" w:hAnsiTheme="minorHAnsi"/>
                <w:b/>
                <w:sz w:val="22"/>
                <w:szCs w:val="22"/>
              </w:rPr>
            </w:pPr>
          </w:p>
        </w:tc>
        <w:tc>
          <w:tcPr>
            <w:tcW w:w="992" w:type="dxa"/>
            <w:vAlign w:val="center"/>
          </w:tcPr>
          <w:p w:rsidR="00AE1C4C" w:rsidRPr="00AE1C4C" w:rsidRDefault="00AE1C4C" w:rsidP="00D77C99">
            <w:pPr>
              <w:jc w:val="center"/>
              <w:rPr>
                <w:rFonts w:asciiTheme="minorHAnsi" w:hAnsiTheme="minorHAnsi"/>
                <w:b/>
                <w:sz w:val="22"/>
                <w:szCs w:val="22"/>
              </w:rPr>
            </w:pPr>
          </w:p>
        </w:tc>
        <w:tc>
          <w:tcPr>
            <w:tcW w:w="1347" w:type="dxa"/>
          </w:tcPr>
          <w:p w:rsidR="00AE1C4C" w:rsidRPr="00AE1C4C" w:rsidRDefault="00AE1C4C" w:rsidP="00D77C99">
            <w:pPr>
              <w:jc w:val="center"/>
              <w:rPr>
                <w:rFonts w:asciiTheme="minorHAnsi" w:hAnsiTheme="minorHAnsi"/>
                <w:b/>
                <w:sz w:val="22"/>
                <w:szCs w:val="22"/>
              </w:rPr>
            </w:pPr>
          </w:p>
        </w:tc>
      </w:tr>
      <w:tr w:rsidR="00AE1C4C" w:rsidRPr="006E65D6" w:rsidTr="00C63C4E">
        <w:trPr>
          <w:cantSplit/>
          <w:trHeight w:val="660"/>
        </w:trPr>
        <w:tc>
          <w:tcPr>
            <w:tcW w:w="6916" w:type="dxa"/>
            <w:gridSpan w:val="6"/>
            <w:vAlign w:val="center"/>
          </w:tcPr>
          <w:p w:rsidR="00AE1C4C" w:rsidRPr="004953BD" w:rsidRDefault="00AE1C4C" w:rsidP="00D77C99">
            <w:pPr>
              <w:jc w:val="center"/>
              <w:rPr>
                <w:b/>
                <w:sz w:val="22"/>
                <w:szCs w:val="22"/>
              </w:rPr>
            </w:pPr>
            <w:r w:rsidRPr="004953BD">
              <w:rPr>
                <w:b/>
                <w:sz w:val="22"/>
                <w:szCs w:val="22"/>
              </w:rPr>
              <w:t>RAZEM :</w:t>
            </w:r>
          </w:p>
        </w:tc>
        <w:tc>
          <w:tcPr>
            <w:tcW w:w="951" w:type="dxa"/>
            <w:vAlign w:val="center"/>
          </w:tcPr>
          <w:p w:rsidR="00AE1C4C" w:rsidRPr="00AE1C4C" w:rsidRDefault="00AE1C4C" w:rsidP="00D77C99">
            <w:pPr>
              <w:jc w:val="center"/>
              <w:rPr>
                <w:rFonts w:asciiTheme="minorHAnsi" w:hAnsiTheme="minorHAnsi"/>
                <w:b/>
                <w:sz w:val="22"/>
                <w:szCs w:val="22"/>
              </w:rPr>
            </w:pPr>
          </w:p>
        </w:tc>
        <w:tc>
          <w:tcPr>
            <w:tcW w:w="992" w:type="dxa"/>
            <w:vAlign w:val="center"/>
          </w:tcPr>
          <w:p w:rsidR="00AE1C4C" w:rsidRPr="00AE1C4C" w:rsidRDefault="00AE1C4C" w:rsidP="00D77C99">
            <w:pPr>
              <w:jc w:val="center"/>
              <w:rPr>
                <w:rFonts w:asciiTheme="minorHAnsi" w:hAnsiTheme="minorHAnsi"/>
                <w:b/>
                <w:sz w:val="22"/>
                <w:szCs w:val="22"/>
              </w:rPr>
            </w:pPr>
          </w:p>
        </w:tc>
        <w:tc>
          <w:tcPr>
            <w:tcW w:w="1347" w:type="dxa"/>
          </w:tcPr>
          <w:p w:rsidR="00AE1C4C" w:rsidRPr="00AE1C4C" w:rsidRDefault="00AE1C4C" w:rsidP="00D77C99">
            <w:pPr>
              <w:jc w:val="center"/>
              <w:rPr>
                <w:rFonts w:asciiTheme="minorHAnsi" w:hAnsiTheme="minorHAnsi"/>
                <w:b/>
                <w:sz w:val="22"/>
                <w:szCs w:val="22"/>
              </w:rPr>
            </w:pPr>
          </w:p>
        </w:tc>
      </w:tr>
    </w:tbl>
    <w:p w:rsidR="00956AF1" w:rsidRDefault="00956AF1" w:rsidP="00956AF1">
      <w:pPr>
        <w:rPr>
          <w:b/>
          <w:sz w:val="22"/>
          <w:szCs w:val="22"/>
        </w:rPr>
      </w:pPr>
    </w:p>
    <w:p w:rsidR="00AE1C4C" w:rsidRDefault="00AE1C4C" w:rsidP="00956AF1">
      <w:pPr>
        <w:rPr>
          <w:b/>
          <w:sz w:val="22"/>
          <w:szCs w:val="22"/>
        </w:rPr>
      </w:pPr>
      <w:r w:rsidRPr="000F3F1B">
        <w:rPr>
          <w:b/>
          <w:sz w:val="22"/>
          <w:szCs w:val="22"/>
        </w:rPr>
        <w:t xml:space="preserve">W składzie konsygnacyjnym </w:t>
      </w:r>
      <w:r w:rsidR="00862988">
        <w:rPr>
          <w:b/>
          <w:sz w:val="22"/>
          <w:szCs w:val="22"/>
        </w:rPr>
        <w:t>5</w:t>
      </w:r>
      <w:r w:rsidRPr="000F3F1B">
        <w:rPr>
          <w:b/>
          <w:sz w:val="22"/>
          <w:szCs w:val="22"/>
        </w:rPr>
        <w:t xml:space="preserve"> urządze</w:t>
      </w:r>
      <w:r w:rsidR="00862988">
        <w:rPr>
          <w:b/>
          <w:sz w:val="22"/>
          <w:szCs w:val="22"/>
        </w:rPr>
        <w:t>ń :</w:t>
      </w:r>
      <w:r w:rsidRPr="000F3F1B">
        <w:rPr>
          <w:b/>
          <w:sz w:val="22"/>
          <w:szCs w:val="22"/>
        </w:rPr>
        <w:t xml:space="preserve"> DWA </w:t>
      </w:r>
      <w:r>
        <w:rPr>
          <w:b/>
          <w:sz w:val="22"/>
          <w:szCs w:val="22"/>
        </w:rPr>
        <w:t xml:space="preserve">Z ŁĄCZEM DF1 I </w:t>
      </w:r>
      <w:r w:rsidR="00862988">
        <w:rPr>
          <w:b/>
          <w:sz w:val="22"/>
          <w:szCs w:val="22"/>
        </w:rPr>
        <w:t>TRZY</w:t>
      </w:r>
      <w:r>
        <w:rPr>
          <w:b/>
          <w:sz w:val="22"/>
          <w:szCs w:val="22"/>
        </w:rPr>
        <w:t xml:space="preserve"> Z ŁĄCZEM DF4</w:t>
      </w:r>
    </w:p>
    <w:p w:rsidR="00956AF1" w:rsidRPr="000F3F1B" w:rsidRDefault="00956AF1" w:rsidP="00956AF1">
      <w:pPr>
        <w:rPr>
          <w:sz w:val="22"/>
          <w:szCs w:val="22"/>
        </w:rPr>
      </w:pPr>
    </w:p>
    <w:tbl>
      <w:tblPr>
        <w:tblW w:w="9214" w:type="dxa"/>
        <w:tblInd w:w="70" w:type="dxa"/>
        <w:tblLayout w:type="fixed"/>
        <w:tblCellMar>
          <w:left w:w="70" w:type="dxa"/>
          <w:right w:w="70" w:type="dxa"/>
        </w:tblCellMar>
        <w:tblLook w:val="0000" w:firstRow="0" w:lastRow="0" w:firstColumn="0" w:lastColumn="0" w:noHBand="0" w:noVBand="0"/>
      </w:tblPr>
      <w:tblGrid>
        <w:gridCol w:w="709"/>
        <w:gridCol w:w="6804"/>
        <w:gridCol w:w="1701"/>
      </w:tblGrid>
      <w:tr w:rsidR="00AE1C4C" w:rsidRPr="00897595" w:rsidTr="00717F93">
        <w:trPr>
          <w:trHeight w:val="392"/>
        </w:trPr>
        <w:tc>
          <w:tcPr>
            <w:tcW w:w="709" w:type="dxa"/>
            <w:tcBorders>
              <w:top w:val="single" w:sz="4" w:space="0" w:color="000000"/>
              <w:left w:val="single" w:sz="4" w:space="0" w:color="000000"/>
              <w:bottom w:val="single" w:sz="4" w:space="0" w:color="000000"/>
            </w:tcBorders>
            <w:shd w:val="clear" w:color="auto" w:fill="D8D8D8"/>
            <w:vAlign w:val="center"/>
          </w:tcPr>
          <w:p w:rsidR="00AE1C4C" w:rsidRPr="00897595" w:rsidRDefault="00AE1C4C" w:rsidP="00D77C99">
            <w:pPr>
              <w:jc w:val="center"/>
              <w:rPr>
                <w:sz w:val="22"/>
                <w:szCs w:val="22"/>
              </w:rPr>
            </w:pPr>
            <w:r w:rsidRPr="00897595">
              <w:rPr>
                <w:sz w:val="22"/>
                <w:szCs w:val="22"/>
              </w:rPr>
              <w:t>L.P.</w:t>
            </w:r>
          </w:p>
        </w:tc>
        <w:tc>
          <w:tcPr>
            <w:tcW w:w="6804" w:type="dxa"/>
            <w:tcBorders>
              <w:top w:val="single" w:sz="4" w:space="0" w:color="000000"/>
              <w:left w:val="single" w:sz="4" w:space="0" w:color="000000"/>
              <w:bottom w:val="single" w:sz="4" w:space="0" w:color="000000"/>
            </w:tcBorders>
            <w:shd w:val="clear" w:color="auto" w:fill="D8D8D8"/>
            <w:vAlign w:val="center"/>
          </w:tcPr>
          <w:p w:rsidR="00AE1C4C" w:rsidRPr="00897595" w:rsidRDefault="00AE1C4C" w:rsidP="00D77C99">
            <w:pPr>
              <w:pStyle w:val="Nagwek1"/>
              <w:tabs>
                <w:tab w:val="left" w:pos="720"/>
              </w:tabs>
              <w:rPr>
                <w:sz w:val="22"/>
                <w:szCs w:val="22"/>
              </w:rPr>
            </w:pPr>
            <w:r w:rsidRPr="00897595">
              <w:rPr>
                <w:sz w:val="22"/>
                <w:szCs w:val="22"/>
              </w:rPr>
              <w:t>Parametry wymagane</w:t>
            </w:r>
          </w:p>
        </w:tc>
        <w:tc>
          <w:tcPr>
            <w:tcW w:w="1701"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AE1C4C" w:rsidRPr="00897595" w:rsidRDefault="00AE1C4C" w:rsidP="00D77C99">
            <w:pPr>
              <w:jc w:val="center"/>
              <w:rPr>
                <w:sz w:val="22"/>
                <w:szCs w:val="22"/>
              </w:rPr>
            </w:pPr>
            <w:r w:rsidRPr="00897595">
              <w:rPr>
                <w:sz w:val="22"/>
                <w:szCs w:val="22"/>
              </w:rPr>
              <w:t>Spełnienie parametrów</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1.</w:t>
            </w:r>
          </w:p>
          <w:p w:rsidR="00AE1C4C" w:rsidRPr="00897595" w:rsidRDefault="00AE1C4C" w:rsidP="00D77C99">
            <w:pPr>
              <w:rPr>
                <w:sz w:val="22"/>
                <w:szCs w:val="22"/>
              </w:rPr>
            </w:pP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Waga kardiowertera-defibrylatora poniżej   82g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2.</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Tryby pracy: VVIR, VDD, VVI, V00, OFF</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b/>
                <w:sz w:val="22"/>
                <w:szCs w:val="22"/>
              </w:rPr>
            </w:pPr>
            <w:r w:rsidRPr="00897595">
              <w:rPr>
                <w:sz w:val="22"/>
                <w:szCs w:val="22"/>
              </w:rPr>
              <w:t>3.</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b/>
                <w:sz w:val="22"/>
                <w:szCs w:val="22"/>
              </w:rPr>
              <w:t>Rok produkcji sprzętu nie wcześniejszy niż rok poprzedzający dostarczenie do odbiorcy i z najnowszej oferty dla polskiego rynku.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4.</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Grubość kardiowertera defibrylatora  max 11 mm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5.</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Automatyczny pomiar progu stymulacji i automatyczne dostosowanie wartości impulsu stymulującego do zmierzonej wartości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6.</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 xml:space="preserve">Min 3 dyskryminatory arytmii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lang w:val="en-US"/>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7.</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Terapie niskonapięciowe  min 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8.</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Optymalizacja Terapii ATP, wybór ostatniej skutecznej terapii ATP</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9.</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Terapie ATP w strefie VF przed ładowaniem kondensatorów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10.</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Czas zapisu IEGM w obu kanałach łącznie powyżej 40 min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11.</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Możliwość zmiany kształtu impulsu wysokoenergetycznego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rPr>
          <w:trHeight w:val="203"/>
        </w:trPr>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12.</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Automatyczny follow up</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13.</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Bezprzewodowa telemetria (RF)</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14.</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Elektroda komorowa przechodząca przez Introducer  ≤ 8F</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15.</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ICD z elektrodą certyfikowane do przeprowadzenie badania MRI w polu o natężeniu nie gorzej niż 1,5T  bez stref wykluczenia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16.</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 xml:space="preserve">Min. 8 szoków terapii wysokoenergetycznej, w każdej ze stref terapii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17.</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Dyskryminacja arytmii na podstawie porównania interwałów przedsionkowych  i komorowych</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18.</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Możliwość prowadzenia ciągłej stymulacji VOO w trybie MRI 1,5T bez stref wykluczenia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19.</w:t>
            </w: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Elektroda defibrylująca z dipolem wyczuwającym umieszczonym na wysokości przedsionka  DF1 lub DF4 do wyboru przez wszczepiającego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tc>
      </w:tr>
      <w:tr w:rsidR="00AE1C4C" w:rsidRPr="00897595" w:rsidTr="00717F93">
        <w:tc>
          <w:tcPr>
            <w:tcW w:w="709"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jc w:val="center"/>
              <w:rPr>
                <w:sz w:val="22"/>
                <w:szCs w:val="22"/>
              </w:rPr>
            </w:pPr>
            <w:r w:rsidRPr="00897595">
              <w:rPr>
                <w:sz w:val="22"/>
                <w:szCs w:val="22"/>
              </w:rPr>
              <w:t>20.</w:t>
            </w:r>
          </w:p>
          <w:p w:rsidR="00AE1C4C" w:rsidRPr="00897595" w:rsidRDefault="00AE1C4C" w:rsidP="00D77C99">
            <w:pPr>
              <w:jc w:val="center"/>
              <w:rPr>
                <w:sz w:val="22"/>
                <w:szCs w:val="22"/>
              </w:rPr>
            </w:pPr>
          </w:p>
        </w:tc>
        <w:tc>
          <w:tcPr>
            <w:tcW w:w="6804" w:type="dxa"/>
            <w:tcBorders>
              <w:top w:val="single" w:sz="4" w:space="0" w:color="000000"/>
              <w:left w:val="single" w:sz="4" w:space="0" w:color="000000"/>
              <w:bottom w:val="single" w:sz="4" w:space="0" w:color="000000"/>
            </w:tcBorders>
            <w:shd w:val="clear" w:color="auto" w:fill="FFFFFF"/>
            <w:vAlign w:val="center"/>
          </w:tcPr>
          <w:p w:rsidR="00AE1C4C" w:rsidRPr="00897595" w:rsidRDefault="00AE1C4C" w:rsidP="00D77C99">
            <w:pPr>
              <w:rPr>
                <w:sz w:val="22"/>
                <w:szCs w:val="22"/>
              </w:rPr>
            </w:pPr>
            <w:r w:rsidRPr="00897595">
              <w:rPr>
                <w:sz w:val="22"/>
                <w:szCs w:val="22"/>
              </w:rPr>
              <w:t>Elektroda komorowa z dipolami typu TrueBipolar</w:t>
            </w:r>
          </w:p>
          <w:p w:rsidR="00AE1C4C" w:rsidRPr="00897595" w:rsidRDefault="00AE1C4C" w:rsidP="00D77C99">
            <w:pPr>
              <w:rPr>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E1C4C" w:rsidRPr="00897595" w:rsidRDefault="00AE1C4C" w:rsidP="00D77C99">
            <w:pPr>
              <w:snapToGrid w:val="0"/>
              <w:jc w:val="center"/>
              <w:rPr>
                <w:sz w:val="22"/>
                <w:szCs w:val="22"/>
              </w:rPr>
            </w:pPr>
            <w:r w:rsidRPr="00897595">
              <w:rPr>
                <w:sz w:val="22"/>
                <w:szCs w:val="22"/>
              </w:rPr>
              <w:t>TAK</w:t>
            </w:r>
          </w:p>
          <w:p w:rsidR="00AE1C4C" w:rsidRPr="00897595" w:rsidRDefault="00AE1C4C" w:rsidP="00D77C99">
            <w:pPr>
              <w:snapToGrid w:val="0"/>
              <w:jc w:val="center"/>
              <w:rPr>
                <w:sz w:val="22"/>
                <w:szCs w:val="22"/>
              </w:rPr>
            </w:pPr>
          </w:p>
        </w:tc>
      </w:tr>
    </w:tbl>
    <w:p w:rsidR="006D5F25" w:rsidRPr="00AE1C4C" w:rsidRDefault="006D5F25" w:rsidP="006D5F25">
      <w:pPr>
        <w:rPr>
          <w:i/>
          <w:sz w:val="22"/>
        </w:rPr>
      </w:pPr>
    </w:p>
    <w:p w:rsidR="006D5F25" w:rsidRDefault="006D5F25" w:rsidP="006D5F25">
      <w:pPr>
        <w:rPr>
          <w:i/>
          <w:sz w:val="22"/>
          <w:lang w:val="pl-PL"/>
        </w:rPr>
      </w:pPr>
    </w:p>
    <w:p w:rsidR="00390CCE" w:rsidRDefault="00390CCE" w:rsidP="006D5F25">
      <w:pPr>
        <w:sectPr w:rsidR="00390CCE" w:rsidSect="00B24E6A">
          <w:headerReference w:type="default" r:id="rId8"/>
          <w:footerReference w:type="default" r:id="rId9"/>
          <w:footnotePr>
            <w:pos w:val="beneathText"/>
          </w:footnotePr>
          <w:pgSz w:w="11906" w:h="16838"/>
          <w:pgMar w:top="1418" w:right="1418" w:bottom="851" w:left="1418" w:header="709" w:footer="709" w:gutter="0"/>
          <w:cols w:space="708"/>
        </w:sectPr>
      </w:pPr>
    </w:p>
    <w:p w:rsidR="00C65FDE" w:rsidRPr="007722F2" w:rsidRDefault="00C65FDE" w:rsidP="00C65FDE">
      <w:pPr>
        <w:rPr>
          <w:i/>
          <w:sz w:val="22"/>
          <w:lang w:val="pl-PL"/>
        </w:rPr>
      </w:pPr>
      <w:r w:rsidRPr="007722F2">
        <w:rPr>
          <w:i/>
          <w:sz w:val="22"/>
          <w:lang w:val="pl-PL"/>
        </w:rPr>
        <w:lastRenderedPageBreak/>
        <w:t>Załącznik nr 2 do SWZ</w:t>
      </w: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(Wykonawc</w:t>
      </w:r>
      <w:r w:rsidR="005E703C">
        <w:rPr>
          <w:sz w:val="16"/>
          <w:lang w:val="pl-PL"/>
        </w:rPr>
        <w:t>a</w:t>
      </w:r>
      <w:r w:rsidRPr="007722F2">
        <w:rPr>
          <w:sz w:val="16"/>
          <w:lang w:val="pl-PL"/>
        </w:rPr>
        <w:t xml:space="preserve">)                                                                                                                          </w:t>
      </w:r>
      <w:r w:rsidR="005E703C">
        <w:rPr>
          <w:sz w:val="16"/>
          <w:lang w:val="pl-PL"/>
        </w:rPr>
        <w:t xml:space="preserve">               </w:t>
      </w:r>
      <w:r w:rsidRPr="007722F2">
        <w:rPr>
          <w:sz w:val="16"/>
          <w:lang w:val="pl-PL"/>
        </w:rPr>
        <w:t xml:space="preserve"> (</w:t>
      </w:r>
      <w:r w:rsidR="005E703C">
        <w:rPr>
          <w:sz w:val="16"/>
          <w:lang w:val="pl-PL"/>
        </w:rPr>
        <w:t>M</w:t>
      </w:r>
      <w:r w:rsidRPr="007722F2">
        <w:rPr>
          <w:sz w:val="16"/>
          <w:lang w:val="pl-PL"/>
        </w:rPr>
        <w:t>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C65FDE" w:rsidRPr="004602B2" w:rsidRDefault="00C65FDE" w:rsidP="00BE5DA7">
      <w:pPr>
        <w:overflowPunct/>
        <w:autoSpaceDE/>
        <w:autoSpaceDN/>
        <w:adjustRightInd/>
        <w:jc w:val="both"/>
        <w:textAlignment w:val="auto"/>
        <w:rPr>
          <w:kern w:val="2"/>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0" w:name="_Hlk495993729"/>
      <w:r w:rsidR="00780F07" w:rsidRPr="007722F2">
        <w:rPr>
          <w:sz w:val="22"/>
          <w:szCs w:val="22"/>
        </w:rPr>
        <w:t>:</w:t>
      </w:r>
      <w:r w:rsidR="00BE5DA7" w:rsidRPr="00BE5DA7">
        <w:rPr>
          <w:b/>
          <w:bCs/>
          <w:sz w:val="22"/>
          <w:szCs w:val="22"/>
        </w:rPr>
        <w:t xml:space="preserve"> „</w:t>
      </w:r>
      <w:r w:rsidR="00BE5DA7" w:rsidRPr="00BE5DA7">
        <w:rPr>
          <w:b/>
          <w:sz w:val="22"/>
          <w:szCs w:val="22"/>
        </w:rPr>
        <w:t>Kardiowertery-defibrylatory jednojamowe  umożliwiające podgląd IEGM przedsionka z możliwością prowadzenia badań MRI po wszczepieniu</w:t>
      </w:r>
      <w:r w:rsidR="00BE5DA7" w:rsidRPr="00BE5DA7">
        <w:rPr>
          <w:b/>
          <w:bCs/>
          <w:sz w:val="22"/>
          <w:szCs w:val="22"/>
        </w:rPr>
        <w:t xml:space="preserve">” </w:t>
      </w:r>
      <w:r w:rsidR="00BE5DA7" w:rsidRPr="00BE5DA7">
        <w:rPr>
          <w:b/>
          <w:sz w:val="22"/>
          <w:szCs w:val="22"/>
        </w:rPr>
        <w:t>- Zp/60/TP/22</w:t>
      </w:r>
      <w:r w:rsidR="002771F3">
        <w:rPr>
          <w:sz w:val="22"/>
          <w:szCs w:val="22"/>
        </w:rPr>
        <w:t xml:space="preserve"> </w:t>
      </w:r>
      <w:bookmarkEnd w:id="0"/>
      <w:r w:rsidRPr="007722F2">
        <w:rPr>
          <w:sz w:val="22"/>
          <w:szCs w:val="22"/>
          <w:lang w:val="pl-PL"/>
        </w:rPr>
        <w:t>informujemy, że składamy ofert</w:t>
      </w:r>
      <w:r w:rsidR="00A95D54" w:rsidRPr="007722F2">
        <w:rPr>
          <w:sz w:val="22"/>
          <w:szCs w:val="22"/>
          <w:lang w:val="pl-PL"/>
        </w:rPr>
        <w:t>ę w przedmiotowym postępowaniu.</w:t>
      </w:r>
    </w:p>
    <w:p w:rsidR="002771F3" w:rsidRPr="007722F2" w:rsidRDefault="002771F3" w:rsidP="002771F3">
      <w:pPr>
        <w:overflowPunct/>
        <w:autoSpaceDE/>
        <w:autoSpaceDN/>
        <w:adjustRightInd/>
        <w:jc w:val="both"/>
        <w:textAlignment w:val="auto"/>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FC0129" w:rsidRDefault="009B0F1D" w:rsidP="009B0F1D">
      <w:pPr>
        <w:spacing w:after="120"/>
        <w:jc w:val="both"/>
        <w:rPr>
          <w:sz w:val="22"/>
          <w:szCs w:val="22"/>
          <w:lang w:val="pl-PL"/>
        </w:rPr>
      </w:pPr>
      <w:r w:rsidRPr="00FC0129">
        <w:rPr>
          <w:bCs/>
          <w:sz w:val="22"/>
          <w:szCs w:val="22"/>
        </w:rPr>
        <w:t>4.</w:t>
      </w:r>
      <w:r w:rsidR="00596706" w:rsidRPr="00FC0129">
        <w:rPr>
          <w:bCs/>
          <w:sz w:val="22"/>
          <w:szCs w:val="22"/>
        </w:rPr>
        <w:t xml:space="preserve"> </w:t>
      </w:r>
      <w:r w:rsidRPr="00FC0129">
        <w:rPr>
          <w:b/>
          <w:bCs/>
          <w:sz w:val="22"/>
          <w:szCs w:val="22"/>
        </w:rPr>
        <w:t xml:space="preserve">OŚWIADCZAMY, </w:t>
      </w:r>
      <w:r w:rsidRPr="00FC0129">
        <w:rPr>
          <w:sz w:val="22"/>
          <w:szCs w:val="22"/>
        </w:rPr>
        <w:t xml:space="preserve">że zapoznaliśmy się i akceptujemy </w:t>
      </w:r>
      <w:r w:rsidR="006A2080" w:rsidRPr="00FC0129">
        <w:rPr>
          <w:sz w:val="22"/>
          <w:szCs w:val="22"/>
        </w:rPr>
        <w:t>p</w:t>
      </w:r>
      <w:r w:rsidRPr="00FC0129">
        <w:rPr>
          <w:sz w:val="22"/>
          <w:szCs w:val="22"/>
        </w:rPr>
        <w:t xml:space="preserve">rojekt </w:t>
      </w:r>
      <w:r w:rsidR="006A2080" w:rsidRPr="00FC0129">
        <w:rPr>
          <w:sz w:val="22"/>
          <w:szCs w:val="22"/>
        </w:rPr>
        <w:t>u</w:t>
      </w:r>
      <w:r w:rsidRPr="00FC0129">
        <w:rPr>
          <w:sz w:val="22"/>
          <w:szCs w:val="22"/>
        </w:rPr>
        <w:t>mowy, stanowiący Załącznik nr</w:t>
      </w:r>
      <w:r w:rsidR="00FA4707" w:rsidRPr="00FC0129">
        <w:rPr>
          <w:sz w:val="22"/>
          <w:szCs w:val="22"/>
        </w:rPr>
        <w:t xml:space="preserve"> </w:t>
      </w:r>
      <w:r w:rsidR="008D7E81">
        <w:rPr>
          <w:sz w:val="22"/>
          <w:szCs w:val="22"/>
        </w:rPr>
        <w:t>3</w:t>
      </w:r>
      <w:r w:rsidR="00FC0129" w:rsidRPr="00FC0129">
        <w:rPr>
          <w:sz w:val="22"/>
          <w:szCs w:val="22"/>
        </w:rPr>
        <w:t xml:space="preserve"> </w:t>
      </w:r>
      <w:r w:rsidRPr="00FC0129">
        <w:rPr>
          <w:sz w:val="22"/>
          <w:szCs w:val="22"/>
        </w:rPr>
        <w:t>do Specyfikacji Warunków Zamówienia.</w:t>
      </w:r>
    </w:p>
    <w:p w:rsidR="00785A32" w:rsidRPr="007722F2" w:rsidRDefault="001F77EF"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7722F2">
        <w:rPr>
          <w:sz w:val="22"/>
          <w:szCs w:val="22"/>
          <w:lang w:val="pl-PL"/>
        </w:rPr>
        <w:t xml:space="preserve">. </w:t>
      </w:r>
      <w:r w:rsidR="00A95D54" w:rsidRPr="007722F2">
        <w:rPr>
          <w:sz w:val="22"/>
          <w:szCs w:val="22"/>
        </w:rPr>
        <w:t>Oferujemy dostawę towaru</w:t>
      </w:r>
      <w:r w:rsidR="00AE5F57">
        <w:rPr>
          <w:sz w:val="22"/>
          <w:szCs w:val="22"/>
        </w:rPr>
        <w:t>, usługę</w:t>
      </w:r>
      <w:r w:rsidR="00A95D54" w:rsidRPr="007722F2">
        <w:rPr>
          <w:sz w:val="22"/>
          <w:szCs w:val="22"/>
        </w:rPr>
        <w:t xml:space="preserve"> o parametrach określonych w załączniku nr 1 do SWZ, zgodnie z formularzem cenowym stanowiącym załącznik do oferty za wynagrodzeniem w kwocie:</w:t>
      </w:r>
      <w:r w:rsidR="00785A32" w:rsidRPr="007722F2">
        <w:rPr>
          <w:sz w:val="22"/>
          <w:szCs w:val="22"/>
          <w:lang w:val="pl-PL"/>
        </w:rPr>
        <w:t xml:space="preserve"> </w:t>
      </w:r>
    </w:p>
    <w:p w:rsidR="00785A32" w:rsidRPr="007722F2" w:rsidRDefault="00785A32" w:rsidP="00785A32">
      <w:pPr>
        <w:widowControl/>
        <w:suppressAutoHyphens w:val="0"/>
        <w:ind w:left="420"/>
        <w:jc w:val="both"/>
        <w:rPr>
          <w:sz w:val="22"/>
          <w:szCs w:val="22"/>
          <w:lang w:val="pl-PL"/>
        </w:rPr>
      </w:pPr>
    </w:p>
    <w:p w:rsidR="00FC0129" w:rsidRDefault="00FC0129" w:rsidP="009B0F1D">
      <w:pPr>
        <w:spacing w:after="1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lastRenderedPageBreak/>
        <w:t>„netto” ...................... PLN, (słownie: .................................................................. złotych),</w:t>
      </w:r>
    </w:p>
    <w:p w:rsidR="009B0F1D" w:rsidRPr="007722F2" w:rsidRDefault="009B0F1D" w:rsidP="009B0F1D">
      <w:pPr>
        <w:spacing w:after="120"/>
        <w:jc w:val="both"/>
        <w:rPr>
          <w:sz w:val="22"/>
          <w:szCs w:val="22"/>
          <w:lang w:val="pl-PL"/>
        </w:rPr>
      </w:pPr>
      <w:r w:rsidRPr="007722F2">
        <w:rPr>
          <w:sz w:val="22"/>
          <w:szCs w:val="22"/>
          <w:lang w:val="pl-PL"/>
        </w:rPr>
        <w:t>podatek VAT – …….. %: .................. PLN,</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„brutto” ........................ PLN, (słownie: ...................................................................</w:t>
      </w:r>
      <w:r w:rsidR="00FF2262">
        <w:rPr>
          <w:sz w:val="22"/>
          <w:szCs w:val="22"/>
          <w:lang w:val="pl-PL"/>
        </w:rPr>
        <w:t>.................</w:t>
      </w:r>
      <w:r w:rsidRPr="007722F2">
        <w:rPr>
          <w:sz w:val="22"/>
          <w:szCs w:val="22"/>
          <w:lang w:val="pl-PL"/>
        </w:rPr>
        <w:t xml:space="preserve"> złotych).</w:t>
      </w:r>
    </w:p>
    <w:p w:rsidR="00BA781B" w:rsidRPr="00BA781B" w:rsidRDefault="00F750E9" w:rsidP="00FF2262">
      <w:pPr>
        <w:pStyle w:val="Tekstpodstawowy"/>
        <w:numPr>
          <w:ilvl w:val="0"/>
          <w:numId w:val="27"/>
        </w:numPr>
        <w:overflowPunct/>
        <w:autoSpaceDE/>
        <w:autoSpaceDN/>
        <w:adjustRightInd/>
        <w:spacing w:before="60" w:after="0"/>
        <w:jc w:val="center"/>
        <w:textAlignment w:val="auto"/>
        <w:rPr>
          <w:sz w:val="22"/>
          <w:szCs w:val="22"/>
        </w:rPr>
      </w:pPr>
      <w:r w:rsidRPr="00BA781B">
        <w:rPr>
          <w:sz w:val="22"/>
          <w:szCs w:val="22"/>
        </w:rPr>
        <w:t xml:space="preserve">Gwarantujemy …….... </w:t>
      </w:r>
      <w:r w:rsidRPr="00BA781B">
        <w:rPr>
          <w:b/>
          <w:sz w:val="22"/>
          <w:szCs w:val="22"/>
        </w:rPr>
        <w:t>dniowy</w:t>
      </w:r>
      <w:r w:rsidRPr="00BA781B">
        <w:rPr>
          <w:sz w:val="22"/>
          <w:szCs w:val="22"/>
        </w:rPr>
        <w:t xml:space="preserve"> </w:t>
      </w:r>
      <w:r w:rsidR="00BA781B" w:rsidRPr="00BA781B">
        <w:rPr>
          <w:sz w:val="22"/>
          <w:szCs w:val="22"/>
        </w:rPr>
        <w:t xml:space="preserve">termin uzupełnienia składu konsygnacyjnego liczony od momentu </w:t>
      </w:r>
      <w:r w:rsidR="00BA781B" w:rsidRPr="00BA781B">
        <w:rPr>
          <w:sz w:val="22"/>
          <w:lang w:val="pl-PL"/>
        </w:rPr>
        <w:t xml:space="preserve">złożenia </w:t>
      </w:r>
      <w:r w:rsidR="00BA781B" w:rsidRPr="00BA781B">
        <w:rPr>
          <w:sz w:val="22"/>
          <w:szCs w:val="22"/>
        </w:rPr>
        <w:t>zamówienia*</w:t>
      </w:r>
    </w:p>
    <w:p w:rsidR="00BA781B" w:rsidRDefault="00BA781B" w:rsidP="00FF2262">
      <w:pPr>
        <w:spacing w:before="60"/>
        <w:ind w:left="720"/>
        <w:jc w:val="center"/>
        <w:rPr>
          <w:sz w:val="22"/>
          <w:szCs w:val="22"/>
        </w:rPr>
      </w:pPr>
    </w:p>
    <w:p w:rsidR="004B71DD" w:rsidRPr="005B2887" w:rsidRDefault="004B71DD" w:rsidP="005B2887">
      <w:pPr>
        <w:pStyle w:val="Standard"/>
        <w:spacing w:after="0"/>
        <w:jc w:val="both"/>
        <w:rPr>
          <w:rFonts w:ascii="Times New Roman" w:hAnsi="Times New Roman"/>
          <w:szCs w:val="22"/>
          <w:lang w:val="pl-PL"/>
        </w:rPr>
      </w:pPr>
      <w:r w:rsidRPr="00A4508C">
        <w:rPr>
          <w:rFonts w:ascii="Times New Roman" w:hAnsi="Times New Roman"/>
          <w:bCs/>
          <w:szCs w:val="22"/>
          <w:lang w:val="pl-PL"/>
        </w:rPr>
        <w:t xml:space="preserve">Zamawiający wymaga </w:t>
      </w:r>
      <w:r w:rsidRPr="00A4508C">
        <w:rPr>
          <w:rFonts w:ascii="Times New Roman" w:hAnsi="Times New Roman"/>
          <w:szCs w:val="22"/>
          <w:lang w:val="pl-PL"/>
        </w:rPr>
        <w:t>utworzenia składu konsygnacyjnego. Skład konsygnacyjny</w:t>
      </w:r>
      <w:r w:rsidRPr="00A4508C">
        <w:rPr>
          <w:rFonts w:ascii="Times New Roman" w:hAnsi="Times New Roman"/>
          <w:bCs/>
          <w:szCs w:val="22"/>
          <w:lang w:val="pl-PL"/>
        </w:rPr>
        <w:t xml:space="preserve"> powinien znajdować się na terenie Szpitala - Pracowni Hemodynamiki. </w:t>
      </w:r>
      <w:r w:rsidRPr="00A4508C">
        <w:rPr>
          <w:rFonts w:ascii="Times New Roman" w:hAnsi="Times New Roman"/>
          <w:szCs w:val="22"/>
          <w:lang w:val="pl-PL"/>
        </w:rPr>
        <w:t>Wykonawca  zobowiązuje się utworzyć skład konsygnacyjny przy czym Zamawiający będzie określał, które rzeczy stanowiące przedmiot zamówienia i w jakich ilościach, nie większych niż określone w załączniku nr 1, mają znajdować się w Składzie, poprzez przesłanie zamówień pocztą elektroniczną na adres e-mail Wykonawcy.  Wykonawca każdorazowo w terminie określonym w złożonej przez niego ofercie dostarczy do składu wskazane w danym zmówieniu rzeczy stanowiące przedmiot zamówienia Wykonawca zobowiązuje się również uzupełniać skład konsygnacyjny w terminie określonym w ofercie na własny koszt stosownie do zapotrzebowania Zamawiającego.</w:t>
      </w:r>
      <w:r>
        <w:rPr>
          <w:rFonts w:ascii="Times New Roman" w:hAnsi="Times New Roman"/>
          <w:szCs w:val="22"/>
          <w:lang w:val="pl-PL"/>
        </w:rPr>
        <w:t xml:space="preserve"> </w:t>
      </w:r>
      <w:r w:rsidRPr="00A4508C">
        <w:rPr>
          <w:rFonts w:ascii="Times New Roman" w:hAnsi="Times New Roman"/>
          <w:szCs w:val="22"/>
          <w:lang w:val="pl-PL"/>
        </w:rPr>
        <w:t xml:space="preserve">Wydanie produktów będzie potwierdzone dwustronnie podpisanym protokołem wydania określającym szczegółowo ilość i asortyment produktu. </w:t>
      </w:r>
      <w:r w:rsidRPr="006F2CFE">
        <w:rPr>
          <w:rFonts w:ascii="Times New Roman" w:hAnsi="Times New Roman"/>
          <w:szCs w:val="22"/>
          <w:lang w:val="pl-PL"/>
        </w:rPr>
        <w:t xml:space="preserve">Protokół będzie sporządzany w dwóch egzemplarzach, po jednym dla każdej ze stron. </w:t>
      </w:r>
      <w:r w:rsidRPr="004B71DD">
        <w:rPr>
          <w:rFonts w:ascii="Times New Roman" w:hAnsi="Times New Roman"/>
          <w:szCs w:val="22"/>
          <w:lang w:val="pl-PL"/>
        </w:rPr>
        <w:t>Produkty do chwili zużycia przez szpital stanowią własność Wykonawcy.</w:t>
      </w:r>
      <w:r w:rsidR="005B2887">
        <w:rPr>
          <w:rFonts w:ascii="Times New Roman" w:hAnsi="Times New Roman"/>
          <w:szCs w:val="22"/>
          <w:lang w:val="pl-PL"/>
        </w:rPr>
        <w:t xml:space="preserve"> </w:t>
      </w:r>
      <w:r w:rsidRPr="005B2887">
        <w:rPr>
          <w:rFonts w:ascii="Times New Roman" w:hAnsi="Times New Roman"/>
          <w:szCs w:val="22"/>
          <w:lang w:val="pl-PL"/>
        </w:rPr>
        <w:t>Po pobraniu towaru ze składu konsygnacyjnego na potrzeby własne szpital będzie sporządzał zbiorcze zestawienie zużytego Przedmiotu Zamówienia wskazując jego kod katalogowy, serię i ilość sztuk i przekazywał je Wykonawcy, nie później jednak niż w ciągu 7 dni od zużycia, co będzie stanowiło podstawę do sporządzenia faktury za dostawę.</w:t>
      </w:r>
    </w:p>
    <w:p w:rsidR="004B71DD" w:rsidRPr="00A4508C" w:rsidRDefault="004B71DD" w:rsidP="004B71DD">
      <w:pPr>
        <w:widowControl/>
        <w:suppressAutoHyphens w:val="0"/>
        <w:overflowPunct/>
        <w:autoSpaceDE/>
        <w:adjustRightInd/>
        <w:jc w:val="both"/>
        <w:rPr>
          <w:sz w:val="22"/>
          <w:szCs w:val="22"/>
        </w:rPr>
      </w:pPr>
      <w:r w:rsidRPr="00A4508C">
        <w:rPr>
          <w:sz w:val="22"/>
          <w:szCs w:val="22"/>
        </w:rPr>
        <w:t>Wykonawca ma prawo do dokonania inwentaryzacji składu 1 raz w kwartale w terminie uzgodnionym z Zamawiającym.</w:t>
      </w:r>
    </w:p>
    <w:p w:rsidR="00BA781B" w:rsidRDefault="00BA781B" w:rsidP="00BA781B">
      <w:pPr>
        <w:spacing w:before="60" w:after="60"/>
        <w:ind w:left="720"/>
        <w:jc w:val="center"/>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Default="009B0F1D" w:rsidP="009B0F1D">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241DF3" w:rsidRPr="00241DF3" w:rsidRDefault="00241DF3" w:rsidP="009B0F1D">
      <w:pPr>
        <w:widowControl/>
        <w:tabs>
          <w:tab w:val="left" w:pos="3705"/>
        </w:tabs>
        <w:suppressAutoHyphens w:val="0"/>
        <w:spacing w:after="120"/>
        <w:ind w:left="283"/>
        <w:rPr>
          <w:i/>
          <w:sz w:val="20"/>
          <w:lang w:val="pl-PL"/>
        </w:rPr>
      </w:pPr>
    </w:p>
    <w:p w:rsidR="009B0F1D" w:rsidRDefault="009B0F1D" w:rsidP="00241DF3">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241DF3" w:rsidRDefault="00241DF3" w:rsidP="00241DF3">
      <w:pPr>
        <w:widowControl/>
        <w:pBdr>
          <w:bottom w:val="single" w:sz="12" w:space="5" w:color="auto"/>
        </w:pBdr>
        <w:suppressAutoHyphens w:val="0"/>
        <w:spacing w:after="120"/>
        <w:ind w:left="4956"/>
        <w:jc w:val="center"/>
        <w:rPr>
          <w:sz w:val="20"/>
          <w:lang w:val="pl-PL"/>
        </w:rPr>
      </w:pPr>
    </w:p>
    <w:p w:rsidR="00241DF3" w:rsidRDefault="00241DF3" w:rsidP="00241DF3">
      <w:pPr>
        <w:widowControl/>
        <w:pBdr>
          <w:bottom w:val="single" w:sz="12" w:space="5" w:color="auto"/>
        </w:pBdr>
        <w:suppressAutoHyphens w:val="0"/>
        <w:spacing w:after="120"/>
        <w:ind w:left="4956"/>
        <w:jc w:val="center"/>
        <w:rPr>
          <w:sz w:val="20"/>
          <w:lang w:val="pl-PL"/>
        </w:rPr>
      </w:pPr>
    </w:p>
    <w:p w:rsidR="008074BD" w:rsidRDefault="008074BD" w:rsidP="00241DF3">
      <w:pPr>
        <w:widowControl/>
        <w:pBdr>
          <w:bottom w:val="single" w:sz="12" w:space="5" w:color="auto"/>
        </w:pBdr>
        <w:suppressAutoHyphens w:val="0"/>
        <w:spacing w:after="120"/>
        <w:ind w:left="4956"/>
        <w:jc w:val="center"/>
        <w:rPr>
          <w:sz w:val="20"/>
          <w:lang w:val="pl-PL"/>
        </w:rPr>
      </w:pPr>
    </w:p>
    <w:p w:rsidR="00241DF3" w:rsidRDefault="00241DF3" w:rsidP="00241DF3">
      <w:pPr>
        <w:widowControl/>
        <w:pBdr>
          <w:bottom w:val="single" w:sz="12" w:space="5" w:color="auto"/>
        </w:pBdr>
        <w:suppressAutoHyphens w:val="0"/>
        <w:spacing w:after="120"/>
        <w:ind w:left="4956"/>
        <w:jc w:val="center"/>
        <w:rPr>
          <w:sz w:val="20"/>
          <w:lang w:val="pl-PL"/>
        </w:rPr>
      </w:pP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9B0F1D" w:rsidRPr="007722F2" w:rsidRDefault="009B0F1D" w:rsidP="000D20E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FC0129" w:rsidRDefault="00FC0129" w:rsidP="00FC0129"/>
    <w:p w:rsidR="00366EB6" w:rsidRPr="00F73320" w:rsidRDefault="00366EB6" w:rsidP="00A95D54">
      <w:pPr>
        <w:pStyle w:val="Legenda"/>
        <w:jc w:val="both"/>
        <w:rPr>
          <w:b w:val="0"/>
          <w:i/>
          <w:color w:val="FF0000"/>
          <w:sz w:val="22"/>
          <w:szCs w:val="22"/>
        </w:rPr>
      </w:pPr>
    </w:p>
    <w:p w:rsidR="00D806EA" w:rsidRPr="0060113C" w:rsidRDefault="00D806EA" w:rsidP="0060113C">
      <w:pPr>
        <w:pStyle w:val="Tekstpodstawowy"/>
        <w:overflowPunct/>
        <w:autoSpaceDE/>
        <w:autoSpaceDN/>
        <w:adjustRightInd/>
        <w:spacing w:before="60" w:after="60"/>
        <w:textAlignment w:val="auto"/>
        <w:rPr>
          <w:i/>
          <w:color w:val="000000" w:themeColor="text1"/>
          <w:sz w:val="20"/>
        </w:rPr>
      </w:pPr>
      <w:r w:rsidRPr="0060113C">
        <w:rPr>
          <w:i/>
          <w:color w:val="000000" w:themeColor="text1"/>
          <w:sz w:val="20"/>
        </w:rPr>
        <w:t xml:space="preserve">* maksymalny termin </w:t>
      </w:r>
      <w:r w:rsidR="0060113C" w:rsidRPr="0060113C">
        <w:rPr>
          <w:i/>
          <w:sz w:val="20"/>
        </w:rPr>
        <w:t xml:space="preserve">uzupełnienia składu konsygnacyjnego liczony od momentu </w:t>
      </w:r>
      <w:r w:rsidR="0060113C" w:rsidRPr="0060113C">
        <w:rPr>
          <w:i/>
          <w:sz w:val="20"/>
          <w:lang w:val="pl-PL"/>
        </w:rPr>
        <w:t xml:space="preserve">złożenia </w:t>
      </w:r>
      <w:r w:rsidR="0060113C" w:rsidRPr="0060113C">
        <w:rPr>
          <w:i/>
          <w:sz w:val="20"/>
        </w:rPr>
        <w:t>zamówienia</w:t>
      </w:r>
      <w:r w:rsidR="00642144" w:rsidRPr="0060113C">
        <w:rPr>
          <w:i/>
          <w:color w:val="000000" w:themeColor="text1"/>
          <w:sz w:val="20"/>
        </w:rPr>
        <w:t xml:space="preserve"> </w:t>
      </w:r>
      <w:r w:rsidRPr="0060113C">
        <w:rPr>
          <w:i/>
          <w:color w:val="000000" w:themeColor="text1"/>
          <w:sz w:val="20"/>
        </w:rPr>
        <w:t xml:space="preserve">- </w:t>
      </w:r>
      <w:r w:rsidR="0060113C" w:rsidRPr="0060113C">
        <w:rPr>
          <w:i/>
          <w:color w:val="000000" w:themeColor="text1"/>
          <w:sz w:val="20"/>
        </w:rPr>
        <w:t>6</w:t>
      </w:r>
      <w:r w:rsidRPr="0060113C">
        <w:rPr>
          <w:i/>
          <w:color w:val="000000" w:themeColor="text1"/>
          <w:sz w:val="20"/>
        </w:rPr>
        <w:t xml:space="preserve"> dni</w:t>
      </w:r>
    </w:p>
    <w:p w:rsidR="00C60924" w:rsidRDefault="00C60924" w:rsidP="00C60924">
      <w:pPr>
        <w:rPr>
          <w:kern w:val="2"/>
          <w:sz w:val="22"/>
          <w:lang w:val="pl-PL"/>
        </w:rPr>
      </w:pPr>
      <w:bookmarkStart w:id="1" w:name="_GoBack"/>
      <w:bookmarkEnd w:id="1"/>
      <w:r>
        <w:rPr>
          <w:i/>
          <w:sz w:val="22"/>
          <w:lang w:val="pl-PL"/>
        </w:rPr>
        <w:lastRenderedPageBreak/>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A927B5" w:rsidRDefault="007200F6" w:rsidP="00A927B5">
      <w:pPr>
        <w:pStyle w:val="Legenda"/>
        <w:jc w:val="both"/>
        <w:rPr>
          <w:kern w:val="2"/>
          <w:sz w:val="22"/>
          <w:szCs w:val="22"/>
        </w:rPr>
      </w:pPr>
      <w:r w:rsidRPr="007722F2">
        <w:rPr>
          <w:sz w:val="22"/>
        </w:rPr>
        <w:t xml:space="preserve">Na potrzeby postępowania o </w:t>
      </w:r>
      <w:r w:rsidRPr="007722F2">
        <w:rPr>
          <w:sz w:val="22"/>
          <w:szCs w:val="22"/>
        </w:rPr>
        <w:t>udzielenie zamówienia publicznego pn.</w:t>
      </w:r>
      <w:r w:rsidRPr="007200F6">
        <w:rPr>
          <w:bCs/>
          <w:sz w:val="22"/>
          <w:szCs w:val="22"/>
        </w:rPr>
        <w:t xml:space="preserve"> </w:t>
      </w:r>
      <w:r w:rsidR="00530512" w:rsidRPr="008A140F">
        <w:rPr>
          <w:rStyle w:val="Wyrnienie"/>
          <w:bCs/>
          <w:i w:val="0"/>
          <w:sz w:val="22"/>
          <w:szCs w:val="22"/>
        </w:rPr>
        <w:t>na</w:t>
      </w:r>
      <w:r w:rsidR="00530512" w:rsidRPr="000E0772">
        <w:rPr>
          <w:rStyle w:val="Wyrnienie"/>
          <w:bCs/>
          <w:sz w:val="22"/>
          <w:szCs w:val="22"/>
        </w:rPr>
        <w:t xml:space="preserve"> </w:t>
      </w:r>
      <w:r w:rsidR="00444A98" w:rsidRPr="00B63AB8">
        <w:rPr>
          <w:bCs/>
          <w:sz w:val="22"/>
          <w:szCs w:val="22"/>
        </w:rPr>
        <w:t>„</w:t>
      </w:r>
      <w:r w:rsidR="00A927B5" w:rsidRPr="001C0FF2">
        <w:rPr>
          <w:sz w:val="22"/>
          <w:szCs w:val="22"/>
        </w:rPr>
        <w:t>Kardiowertery-defibrylatory jednojamowe  umożliwiające podgląd IEGM przedsionka z możliwością prowadzenia badań MRI po wszczepieniu</w:t>
      </w:r>
      <w:r w:rsidR="00444A98" w:rsidRPr="00B63AB8">
        <w:rPr>
          <w:bCs/>
          <w:sz w:val="22"/>
          <w:szCs w:val="22"/>
        </w:rPr>
        <w:t>”</w:t>
      </w:r>
      <w:r w:rsidR="00444A98" w:rsidRPr="00650D05">
        <w:rPr>
          <w:sz w:val="22"/>
          <w:szCs w:val="22"/>
        </w:rPr>
        <w:t>- Zp/</w:t>
      </w:r>
      <w:r w:rsidR="00787A5B">
        <w:rPr>
          <w:sz w:val="22"/>
          <w:szCs w:val="22"/>
        </w:rPr>
        <w:t>60</w:t>
      </w:r>
      <w:r w:rsidR="00444A98" w:rsidRPr="00650D05">
        <w:rPr>
          <w:sz w:val="22"/>
          <w:szCs w:val="22"/>
        </w:rPr>
        <w:t>/TP/22</w:t>
      </w:r>
      <w:r>
        <w:rPr>
          <w:sz w:val="22"/>
          <w:szCs w:val="22"/>
        </w:rPr>
        <w:t xml:space="preserve">, </w:t>
      </w:r>
      <w:r w:rsidRPr="007722F2">
        <w:rPr>
          <w:sz w:val="22"/>
          <w:szCs w:val="22"/>
        </w:rPr>
        <w:t>prowadzonego przez Specjalistyczny Szpital im. dra Alfreda Sokołowskiego w Wałbrzychu oświadczam</w:t>
      </w:r>
      <w:r w:rsidRPr="007722F2">
        <w:rPr>
          <w:sz w:val="22"/>
        </w:rPr>
        <w:t>, co następuje:</w:t>
      </w:r>
    </w:p>
    <w:p w:rsidR="007200F6" w:rsidRPr="00787A5B" w:rsidRDefault="007200F6" w:rsidP="007200F6">
      <w:pPr>
        <w:overflowPunct/>
        <w:autoSpaceDE/>
        <w:autoSpaceDN/>
        <w:adjustRightInd/>
        <w:jc w:val="both"/>
        <w:rPr>
          <w:rFonts w:eastAsia="Lucida Sans Unicode"/>
          <w:b/>
          <w:bCs/>
          <w:sz w:val="22"/>
          <w:szCs w:val="22"/>
          <w:lang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 xml:space="preserve">ustawy </w:t>
      </w:r>
      <w:proofErr w:type="spellStart"/>
      <w:r w:rsidRPr="00D61CB6">
        <w:rPr>
          <w:b/>
          <w:sz w:val="20"/>
          <w:lang w:val="pl-PL"/>
        </w:rPr>
        <w:t>Pzp</w:t>
      </w:r>
      <w:proofErr w:type="spellEnd"/>
      <w:r w:rsidRPr="00D61CB6">
        <w:rPr>
          <w:b/>
          <w:sz w:val="20"/>
          <w:lang w:val="pl-PL"/>
        </w:rPr>
        <w:t>.</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w:t>
      </w:r>
      <w:proofErr w:type="spellStart"/>
      <w:r w:rsidRPr="00D61CB6">
        <w:rPr>
          <w:b/>
          <w:sz w:val="20"/>
          <w:lang w:val="pl-PL"/>
        </w:rPr>
        <w:t>Pzp</w:t>
      </w:r>
      <w:proofErr w:type="spellEnd"/>
      <w:r w:rsidRPr="00D61CB6">
        <w:rPr>
          <w:b/>
          <w:sz w:val="20"/>
          <w:lang w:val="pl-PL"/>
        </w:rPr>
        <w:t>.</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C60924" w:rsidRDefault="00C60924" w:rsidP="00C60924">
      <w:pPr>
        <w:rPr>
          <w:i/>
          <w:sz w:val="22"/>
          <w:lang w:val="pl-PL"/>
        </w:rPr>
      </w:pPr>
    </w:p>
    <w:p w:rsidR="006C6A10" w:rsidRPr="007722F2" w:rsidRDefault="006C6A10" w:rsidP="006C6A10">
      <w:pPr>
        <w:rPr>
          <w:i/>
          <w:sz w:val="22"/>
          <w:lang w:val="pl-PL"/>
        </w:rPr>
      </w:pPr>
      <w:r w:rsidRPr="007722F2">
        <w:rPr>
          <w:i/>
          <w:sz w:val="22"/>
          <w:lang w:val="pl-PL"/>
        </w:rPr>
        <w:lastRenderedPageBreak/>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804E94" w:rsidRDefault="006C6A10" w:rsidP="00804E94">
      <w:pPr>
        <w:pStyle w:val="Legenda"/>
        <w:jc w:val="both"/>
        <w:rPr>
          <w:kern w:val="2"/>
          <w:sz w:val="22"/>
          <w:szCs w:val="22"/>
        </w:rPr>
      </w:pPr>
      <w:r w:rsidRPr="007722F2">
        <w:rPr>
          <w:sz w:val="22"/>
        </w:rPr>
        <w:t xml:space="preserve">Na potrzeby postępowania o udzielenie </w:t>
      </w:r>
      <w:r w:rsidRPr="007722F2">
        <w:rPr>
          <w:sz w:val="22"/>
          <w:szCs w:val="22"/>
        </w:rPr>
        <w:t>zamówienia publicznego pn.</w:t>
      </w:r>
      <w:r w:rsidRPr="00092EC7">
        <w:rPr>
          <w:bCs/>
          <w:sz w:val="22"/>
          <w:szCs w:val="22"/>
        </w:rPr>
        <w:t xml:space="preserve"> </w:t>
      </w:r>
      <w:r w:rsidRPr="00AD4BD0">
        <w:rPr>
          <w:bCs/>
          <w:sz w:val="22"/>
          <w:szCs w:val="22"/>
        </w:rPr>
        <w:t xml:space="preserve"> </w:t>
      </w:r>
      <w:r>
        <w:rPr>
          <w:bCs/>
          <w:sz w:val="22"/>
          <w:szCs w:val="22"/>
        </w:rPr>
        <w:t xml:space="preserve">- </w:t>
      </w:r>
      <w:r w:rsidR="00787A5B" w:rsidRPr="00B63AB8">
        <w:rPr>
          <w:bCs/>
          <w:sz w:val="22"/>
          <w:szCs w:val="22"/>
        </w:rPr>
        <w:t>„</w:t>
      </w:r>
      <w:r w:rsidR="00787A5B" w:rsidRPr="001C0FF2">
        <w:rPr>
          <w:sz w:val="22"/>
          <w:szCs w:val="22"/>
        </w:rPr>
        <w:t>Kardiowertery-defibrylatory jednojamowe  umożliwiające podgląd IEGM przedsionka z możliwością prowadzenia badań MRI po wszczepieniu</w:t>
      </w:r>
      <w:r w:rsidR="00787A5B" w:rsidRPr="00B63AB8">
        <w:rPr>
          <w:bCs/>
          <w:sz w:val="22"/>
          <w:szCs w:val="22"/>
        </w:rPr>
        <w:t>”</w:t>
      </w:r>
      <w:r w:rsidR="00787A5B" w:rsidRPr="00650D05">
        <w:rPr>
          <w:sz w:val="22"/>
          <w:szCs w:val="22"/>
        </w:rPr>
        <w:t>- Zp/</w:t>
      </w:r>
      <w:r w:rsidR="00787A5B">
        <w:rPr>
          <w:sz w:val="22"/>
          <w:szCs w:val="22"/>
        </w:rPr>
        <w:t>60</w:t>
      </w:r>
      <w:r w:rsidR="00787A5B" w:rsidRPr="00650D05">
        <w:rPr>
          <w:sz w:val="22"/>
          <w:szCs w:val="22"/>
        </w:rPr>
        <w:t>/TP/22</w:t>
      </w:r>
      <w:r w:rsidR="00787A5B">
        <w:rPr>
          <w:sz w:val="22"/>
          <w:szCs w:val="22"/>
        </w:rPr>
        <w:t>,</w:t>
      </w:r>
      <w:r w:rsidRPr="00EC1C32">
        <w:rPr>
          <w:sz w:val="22"/>
          <w:szCs w:val="22"/>
        </w:rPr>
        <w:t xml:space="preserve"> </w:t>
      </w:r>
      <w:r w:rsidRPr="007722F2">
        <w:rPr>
          <w:sz w:val="22"/>
          <w:szCs w:val="22"/>
        </w:rPr>
        <w:t>prowadzonego</w:t>
      </w:r>
      <w:r w:rsidRPr="007722F2">
        <w:rPr>
          <w:sz w:val="22"/>
        </w:rPr>
        <w:t xml:space="preserve"> przez Specjalistyczny Szpital im. dra Alfreda Sokołowskiego w Wałbrzychu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 xml:space="preserve">ustawy </w:t>
      </w:r>
      <w:proofErr w:type="spellStart"/>
      <w:r w:rsidRPr="00D61CB6">
        <w:rPr>
          <w:b/>
          <w:sz w:val="20"/>
          <w:lang w:val="pl-PL"/>
        </w:rPr>
        <w:t>Pzp</w:t>
      </w:r>
      <w:proofErr w:type="spellEnd"/>
      <w:r w:rsidRPr="00D61CB6">
        <w:rPr>
          <w:b/>
          <w:sz w:val="20"/>
          <w:lang w:val="pl-PL"/>
        </w:rPr>
        <w:t>.</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w:t>
      </w:r>
      <w:proofErr w:type="spellStart"/>
      <w:r w:rsidRPr="00D61CB6">
        <w:rPr>
          <w:b/>
          <w:sz w:val="20"/>
          <w:lang w:val="pl-PL"/>
        </w:rPr>
        <w:t>Pzp</w:t>
      </w:r>
      <w:proofErr w:type="spellEnd"/>
      <w:r w:rsidRPr="00D61CB6">
        <w:rPr>
          <w:b/>
          <w:sz w:val="20"/>
          <w:lang w:val="pl-PL"/>
        </w:rPr>
        <w:t>.</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A85403" w:rsidRDefault="00A85403" w:rsidP="0084622F">
      <w:pPr>
        <w:rPr>
          <w:i/>
          <w:sz w:val="22"/>
          <w:lang w:val="pl-PL"/>
        </w:rPr>
      </w:pPr>
    </w:p>
    <w:p w:rsidR="00A85403" w:rsidRDefault="00A85403" w:rsidP="0084622F">
      <w:pPr>
        <w:rPr>
          <w:i/>
          <w:sz w:val="22"/>
          <w:lang w:val="pl-PL"/>
        </w:rPr>
      </w:pPr>
    </w:p>
    <w:p w:rsidR="0084622F" w:rsidRPr="007722F2" w:rsidRDefault="0084622F" w:rsidP="0084622F">
      <w:pPr>
        <w:rPr>
          <w:i/>
          <w:sz w:val="22"/>
          <w:lang w:val="pl-PL"/>
        </w:rPr>
      </w:pPr>
      <w:r w:rsidRPr="007722F2">
        <w:rPr>
          <w:i/>
          <w:sz w:val="22"/>
          <w:lang w:val="pl-PL"/>
        </w:rPr>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8F0884" w:rsidRDefault="0084622F" w:rsidP="008F0884">
      <w:pPr>
        <w:pStyle w:val="Legenda"/>
        <w:jc w:val="both"/>
        <w:rPr>
          <w:kern w:val="2"/>
          <w:sz w:val="22"/>
          <w:szCs w:val="22"/>
        </w:rPr>
      </w:pPr>
      <w:r w:rsidRPr="007722F2">
        <w:rPr>
          <w:sz w:val="22"/>
          <w:szCs w:val="22"/>
        </w:rPr>
        <w:t>Na potrzeby postępowania o udzielenie zamówienia publicznego pn</w:t>
      </w:r>
      <w:r w:rsidRPr="00A85403">
        <w:rPr>
          <w:sz w:val="22"/>
          <w:szCs w:val="22"/>
        </w:rPr>
        <w:t>.</w:t>
      </w:r>
      <w:r w:rsidR="00444A98">
        <w:rPr>
          <w:sz w:val="22"/>
          <w:szCs w:val="22"/>
        </w:rPr>
        <w:t> </w:t>
      </w:r>
      <w:r w:rsidR="00444A98">
        <w:rPr>
          <w:bCs/>
          <w:color w:val="000000"/>
          <w:sz w:val="22"/>
          <w:szCs w:val="22"/>
        </w:rPr>
        <w:t>:</w:t>
      </w:r>
      <w:r w:rsidR="00A85403" w:rsidRPr="000E0772">
        <w:rPr>
          <w:rStyle w:val="Wyrnienie"/>
          <w:bCs/>
          <w:sz w:val="22"/>
          <w:szCs w:val="22"/>
        </w:rPr>
        <w:t xml:space="preserve"> </w:t>
      </w:r>
      <w:r w:rsidR="000562F6" w:rsidRPr="00B63AB8">
        <w:rPr>
          <w:bCs/>
          <w:sz w:val="22"/>
          <w:szCs w:val="22"/>
        </w:rPr>
        <w:t>„</w:t>
      </w:r>
      <w:r w:rsidR="000562F6" w:rsidRPr="001C0FF2">
        <w:rPr>
          <w:sz w:val="22"/>
          <w:szCs w:val="22"/>
        </w:rPr>
        <w:t>Kardiowertery-defibrylatory jednojamowe  umożliwiające podgląd IEGM przedsionka z możliwością prowadzenia badań MRI po wszczepieniu</w:t>
      </w:r>
      <w:r w:rsidR="000562F6" w:rsidRPr="00B63AB8">
        <w:rPr>
          <w:bCs/>
          <w:sz w:val="22"/>
          <w:szCs w:val="22"/>
        </w:rPr>
        <w:t>”</w:t>
      </w:r>
      <w:r w:rsidR="000562F6" w:rsidRPr="00650D05">
        <w:rPr>
          <w:sz w:val="22"/>
          <w:szCs w:val="22"/>
        </w:rPr>
        <w:t>- Zp/</w:t>
      </w:r>
      <w:r w:rsidR="000562F6">
        <w:rPr>
          <w:sz w:val="22"/>
          <w:szCs w:val="22"/>
        </w:rPr>
        <w:t>60</w:t>
      </w:r>
      <w:r w:rsidR="000562F6" w:rsidRPr="00650D05">
        <w:rPr>
          <w:sz w:val="22"/>
          <w:szCs w:val="22"/>
        </w:rPr>
        <w:t>/TP/22</w:t>
      </w:r>
      <w:r w:rsidR="000562F6">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6C6A10" w:rsidRDefault="006C6A10" w:rsidP="00C60924">
      <w:pPr>
        <w:rPr>
          <w:i/>
          <w:sz w:val="22"/>
          <w:lang w:val="pl-PL"/>
        </w:rPr>
      </w:pPr>
    </w:p>
    <w:p w:rsidR="004513FC" w:rsidRDefault="004513FC" w:rsidP="00F55672">
      <w:pPr>
        <w:suppressAutoHyphens w:val="0"/>
        <w:spacing w:before="100" w:beforeAutospacing="1"/>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lastRenderedPageBreak/>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w:t>
      </w:r>
      <w:proofErr w:type="spellStart"/>
      <w:r w:rsidRPr="007722F2">
        <w:rPr>
          <w:rFonts w:eastAsia="Calibri"/>
          <w:i/>
          <w:kern w:val="0"/>
          <w:sz w:val="18"/>
          <w:szCs w:val="18"/>
          <w:lang w:val="pl-PL" w:eastAsia="en-US"/>
        </w:rPr>
        <w:t>firma,adres</w:t>
      </w:r>
      <w:proofErr w:type="spellEnd"/>
      <w:r w:rsidRPr="007722F2">
        <w:rPr>
          <w:rFonts w:eastAsia="Calibri"/>
          <w: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D453DD" w:rsidRDefault="00BA2516" w:rsidP="00D453DD">
      <w:pPr>
        <w:pStyle w:val="Legenda"/>
        <w:jc w:val="both"/>
        <w:rPr>
          <w:kern w:val="2"/>
          <w:sz w:val="22"/>
          <w:szCs w:val="22"/>
        </w:rPr>
      </w:pPr>
      <w:r w:rsidRPr="007722F2">
        <w:rPr>
          <w:rFonts w:eastAsia="Calibri"/>
          <w:kern w:val="0"/>
          <w:sz w:val="22"/>
          <w:szCs w:val="22"/>
          <w:lang w:val="pl-PL" w:eastAsia="en-US"/>
        </w:rPr>
        <w:t xml:space="preserve">przystępującemu do postepowania o udzielenie zamówienia publicznego pod nazwą: </w:t>
      </w:r>
      <w:r w:rsidR="00D44153" w:rsidRPr="008A140F">
        <w:rPr>
          <w:rStyle w:val="Wyrnienie"/>
          <w:bCs/>
          <w:i w:val="0"/>
          <w:sz w:val="22"/>
          <w:szCs w:val="22"/>
        </w:rPr>
        <w:t>na</w:t>
      </w:r>
      <w:r w:rsidR="00D44153" w:rsidRPr="000E0772">
        <w:rPr>
          <w:rStyle w:val="Wyrnienie"/>
          <w:bCs/>
          <w:sz w:val="22"/>
          <w:szCs w:val="22"/>
        </w:rPr>
        <w:t xml:space="preserve"> </w:t>
      </w:r>
      <w:r w:rsidR="00D453DD">
        <w:rPr>
          <w:rStyle w:val="Wyrnienie"/>
          <w:bCs/>
          <w:sz w:val="22"/>
          <w:szCs w:val="22"/>
        </w:rPr>
        <w:br/>
      </w:r>
      <w:r w:rsidR="00654438" w:rsidRPr="00B63AB8">
        <w:rPr>
          <w:bCs/>
          <w:sz w:val="22"/>
          <w:szCs w:val="22"/>
        </w:rPr>
        <w:t>„</w:t>
      </w:r>
      <w:r w:rsidR="00654438" w:rsidRPr="001C0FF2">
        <w:rPr>
          <w:sz w:val="22"/>
          <w:szCs w:val="22"/>
        </w:rPr>
        <w:t>Kardiowertery-defibrylatory jednojamowe  umożliwiające podgląd IEGM przedsionka z możliwością prowadzenia badań MRI po wszczepieniu</w:t>
      </w:r>
      <w:r w:rsidR="00654438" w:rsidRPr="00B63AB8">
        <w:rPr>
          <w:bCs/>
          <w:sz w:val="22"/>
          <w:szCs w:val="22"/>
        </w:rPr>
        <w:t>”</w:t>
      </w:r>
      <w:r w:rsidR="00654438" w:rsidRPr="00650D05">
        <w:rPr>
          <w:sz w:val="22"/>
          <w:szCs w:val="22"/>
        </w:rPr>
        <w:t>- Zp/</w:t>
      </w:r>
      <w:r w:rsidR="00654438">
        <w:rPr>
          <w:sz w:val="22"/>
          <w:szCs w:val="22"/>
        </w:rPr>
        <w:t>60</w:t>
      </w:r>
      <w:r w:rsidR="00654438" w:rsidRPr="00650D05">
        <w:rPr>
          <w:sz w:val="22"/>
          <w:szCs w:val="22"/>
        </w:rPr>
        <w:t>/TP/22</w:t>
      </w:r>
      <w:r w:rsidR="00654438">
        <w:rPr>
          <w:sz w:val="22"/>
          <w:szCs w:val="22"/>
        </w:rPr>
        <w:t>,</w:t>
      </w:r>
      <w:r w:rsidR="00C87A75" w:rsidRPr="007722F2">
        <w:rPr>
          <w:rFonts w:eastAsia="Lucida Sans Unicode"/>
          <w:kern w:val="2"/>
          <w:sz w:val="22"/>
          <w:szCs w:val="24"/>
          <w:lang w:eastAsia="ar-SA"/>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D40D7F" w:rsidRDefault="00D40D7F" w:rsidP="002A0063">
      <w:pPr>
        <w:rPr>
          <w:i/>
          <w:sz w:val="22"/>
          <w:szCs w:val="22"/>
        </w:rPr>
      </w:pPr>
    </w:p>
    <w:p w:rsidR="00D40D7F" w:rsidRDefault="00D40D7F" w:rsidP="002A0063">
      <w:pPr>
        <w:rPr>
          <w:i/>
          <w:sz w:val="22"/>
          <w:szCs w:val="22"/>
        </w:rPr>
      </w:pPr>
    </w:p>
    <w:p w:rsidR="00777F12" w:rsidRPr="003C3936" w:rsidRDefault="00777F12" w:rsidP="00777F1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sidR="00B7208B">
        <w:rPr>
          <w:i/>
          <w:sz w:val="22"/>
          <w:lang w:val="pl-PL"/>
        </w:rPr>
        <w:t>7</w:t>
      </w:r>
      <w:r w:rsidRPr="003C3936">
        <w:rPr>
          <w:i/>
          <w:sz w:val="22"/>
          <w:lang w:val="pl-PL"/>
        </w:rPr>
        <w:t xml:space="preserve"> do SWZ</w:t>
      </w:r>
    </w:p>
    <w:p w:rsidR="00777F12" w:rsidRPr="00FD48EB" w:rsidRDefault="00777F12" w:rsidP="00777F12">
      <w:pPr>
        <w:rPr>
          <w:i/>
        </w:rPr>
      </w:pPr>
    </w:p>
    <w:p w:rsidR="00777F12" w:rsidRPr="00FD48EB" w:rsidRDefault="00777F12" w:rsidP="00777F12">
      <w:pPr>
        <w:rPr>
          <w:rFonts w:ascii="Arial" w:hAnsi="Arial"/>
        </w:rPr>
      </w:pPr>
    </w:p>
    <w:p w:rsidR="00777F12" w:rsidRPr="00FD48EB" w:rsidRDefault="00777F12" w:rsidP="00777F12">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rsidR="00777F12" w:rsidRPr="00FD48EB" w:rsidRDefault="00777F12" w:rsidP="00777F12">
      <w:pPr>
        <w:rPr>
          <w:sz w:val="18"/>
          <w:szCs w:val="18"/>
        </w:rPr>
      </w:pPr>
      <w:r w:rsidRPr="00FD48EB">
        <w:rPr>
          <w:rFonts w:ascii="Arial" w:hAnsi="Arial"/>
          <w:sz w:val="16"/>
        </w:rPr>
        <w:t xml:space="preserve">                      </w:t>
      </w:r>
      <w:r w:rsidRPr="00FD48EB">
        <w:rPr>
          <w:sz w:val="18"/>
          <w:szCs w:val="18"/>
        </w:rPr>
        <w:t>(Wykonawca)                                                                                                            (miejscowość i data)</w:t>
      </w:r>
    </w:p>
    <w:p w:rsidR="00777F12" w:rsidRPr="00FD48EB" w:rsidRDefault="00777F12" w:rsidP="00777F12">
      <w:pPr>
        <w:rPr>
          <w:rFonts w:cs="Arial Unicode MS"/>
          <w:i/>
          <w:szCs w:val="24"/>
        </w:rPr>
      </w:pPr>
    </w:p>
    <w:p w:rsidR="00777F12" w:rsidRPr="00FD48EB" w:rsidRDefault="00777F12" w:rsidP="00777F12">
      <w:pPr>
        <w:pStyle w:val="NormalnyWeb"/>
        <w:spacing w:line="360" w:lineRule="auto"/>
        <w:ind w:firstLine="567"/>
        <w:jc w:val="both"/>
        <w:rPr>
          <w:sz w:val="22"/>
          <w:szCs w:val="22"/>
          <w:lang w:val="pl-PL"/>
        </w:rPr>
      </w:pPr>
    </w:p>
    <w:p w:rsidR="00777F12" w:rsidRPr="00FD48EB" w:rsidRDefault="00777F12" w:rsidP="00777F12">
      <w:pPr>
        <w:pStyle w:val="NormalnyWeb"/>
        <w:spacing w:line="360" w:lineRule="auto"/>
        <w:ind w:firstLine="567"/>
        <w:jc w:val="both"/>
        <w:rPr>
          <w:sz w:val="28"/>
          <w:szCs w:val="28"/>
          <w:lang w:val="fr-FR"/>
        </w:rPr>
      </w:pPr>
      <w:r w:rsidRPr="00FD48EB">
        <w:rPr>
          <w:sz w:val="28"/>
          <w:szCs w:val="28"/>
          <w:lang w:val="fr-FR"/>
        </w:rPr>
        <w:t xml:space="preserve">                                      </w:t>
      </w:r>
    </w:p>
    <w:p w:rsidR="00777F12" w:rsidRPr="00FD48EB" w:rsidRDefault="00777F12" w:rsidP="00777F12">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rsidR="00777F12" w:rsidRPr="003552AF" w:rsidRDefault="00777F12" w:rsidP="00777F12">
      <w:pPr>
        <w:pStyle w:val="NormalnyWeb"/>
        <w:spacing w:line="360" w:lineRule="auto"/>
        <w:jc w:val="both"/>
        <w:rPr>
          <w:sz w:val="22"/>
          <w:szCs w:val="22"/>
          <w:lang w:val="pl-PL"/>
        </w:rPr>
      </w:pPr>
      <w:r w:rsidRPr="003552AF">
        <w:rPr>
          <w:sz w:val="22"/>
          <w:szCs w:val="22"/>
          <w:lang w:val="fr-FR"/>
        </w:rPr>
        <w:t>Oświadczamy, że oferowany przez naszą firmę przedmiot zamówienia posiada aktualne i ważne przez cały okres trwania umowy dokumenty dopuszczające do obrotu i stosowania na terytorium RP, zgodnie z ustawą z dnia 0</w:t>
      </w:r>
      <w:r w:rsidR="008A31BE" w:rsidRPr="003552AF">
        <w:rPr>
          <w:sz w:val="22"/>
          <w:szCs w:val="22"/>
          <w:lang w:val="fr-FR"/>
        </w:rPr>
        <w:t>7</w:t>
      </w:r>
      <w:r w:rsidRPr="003552AF">
        <w:rPr>
          <w:sz w:val="22"/>
          <w:szCs w:val="22"/>
          <w:lang w:val="fr-FR"/>
        </w:rPr>
        <w:t xml:space="preserve"> </w:t>
      </w:r>
      <w:r w:rsidR="008A31BE" w:rsidRPr="003552AF">
        <w:rPr>
          <w:sz w:val="22"/>
          <w:szCs w:val="22"/>
          <w:lang w:val="fr-FR"/>
        </w:rPr>
        <w:t>kwietnia</w:t>
      </w:r>
      <w:r w:rsidRPr="003552AF">
        <w:rPr>
          <w:sz w:val="22"/>
          <w:szCs w:val="22"/>
          <w:lang w:val="fr-FR"/>
        </w:rPr>
        <w:t xml:space="preserve"> 20</w:t>
      </w:r>
      <w:r w:rsidR="008A31BE" w:rsidRPr="003552AF">
        <w:rPr>
          <w:sz w:val="22"/>
          <w:szCs w:val="22"/>
          <w:lang w:val="fr-FR"/>
        </w:rPr>
        <w:t>22</w:t>
      </w:r>
      <w:r w:rsidRPr="003552AF">
        <w:rPr>
          <w:sz w:val="22"/>
          <w:szCs w:val="22"/>
          <w:lang w:val="fr-FR"/>
        </w:rPr>
        <w:t xml:space="preserve">r. o wyrobach medycznych (Dz. U. z 2022r. poz. 974). </w:t>
      </w:r>
      <w:r w:rsidR="008A31BE" w:rsidRPr="003552AF">
        <w:rPr>
          <w:sz w:val="22"/>
          <w:szCs w:val="22"/>
          <w:lang w:val="fr-FR"/>
        </w:rPr>
        <w:br/>
      </w:r>
      <w:r w:rsidRPr="003552AF">
        <w:rPr>
          <w:sz w:val="22"/>
          <w:szCs w:val="22"/>
          <w:lang w:val="fr-FR"/>
        </w:rPr>
        <w:t>Na każde żądanie Zamawiającego jesteśmy w stanie przedstawić stosowne dokumenty.</w:t>
      </w:r>
    </w:p>
    <w:p w:rsidR="00777F12" w:rsidRPr="00FD48EB" w:rsidRDefault="00777F12" w:rsidP="00777F12">
      <w:pPr>
        <w:pStyle w:val="NormalnyWeb"/>
        <w:spacing w:line="360" w:lineRule="auto"/>
        <w:ind w:firstLine="567"/>
        <w:jc w:val="both"/>
        <w:rPr>
          <w:sz w:val="22"/>
          <w:szCs w:val="22"/>
          <w:lang w:val="pl-PL"/>
        </w:rPr>
      </w:pPr>
    </w:p>
    <w:p w:rsidR="00777F12" w:rsidRPr="00FD48EB" w:rsidRDefault="00777F12" w:rsidP="00777F12">
      <w:pPr>
        <w:pStyle w:val="Tekstpodstawowywcity"/>
        <w:rPr>
          <w:szCs w:val="24"/>
        </w:rPr>
      </w:pPr>
      <w:r w:rsidRPr="00FD48EB">
        <w:t xml:space="preserve">                                                                             .................................................................</w:t>
      </w:r>
    </w:p>
    <w:p w:rsidR="00777F12" w:rsidRPr="00FD48EB" w:rsidRDefault="00777F12" w:rsidP="00777F12">
      <w:pPr>
        <w:pStyle w:val="Tekstpodstawowywcity"/>
        <w:rPr>
          <w:sz w:val="18"/>
          <w:szCs w:val="18"/>
        </w:rPr>
      </w:pPr>
      <w:r w:rsidRPr="00FD48EB">
        <w:rPr>
          <w:sz w:val="18"/>
          <w:szCs w:val="18"/>
        </w:rPr>
        <w:t xml:space="preserve">                                                                                              ( podpis Wykonawcy lub osób uprawnionych przez niego)</w:t>
      </w:r>
    </w:p>
    <w:p w:rsidR="00777F12" w:rsidRPr="00FD48EB" w:rsidRDefault="00777F12" w:rsidP="00777F12">
      <w:pPr>
        <w:jc w:val="both"/>
        <w:rPr>
          <w:szCs w:val="24"/>
        </w:rPr>
      </w:pPr>
    </w:p>
    <w:p w:rsidR="00777F12" w:rsidRPr="00FD48EB" w:rsidRDefault="00777F12" w:rsidP="00777F12">
      <w:pPr>
        <w:jc w:val="both"/>
      </w:pPr>
    </w:p>
    <w:p w:rsidR="00777F12" w:rsidRPr="005F7ED1" w:rsidRDefault="00777F12" w:rsidP="00777F12">
      <w:pPr>
        <w:rPr>
          <w:i/>
          <w:color w:val="FF0000"/>
        </w:rPr>
      </w:pPr>
    </w:p>
    <w:p w:rsidR="00777F12" w:rsidRDefault="00777F12" w:rsidP="002A0063">
      <w:pPr>
        <w:rPr>
          <w:i/>
          <w:sz w:val="22"/>
          <w:szCs w:val="22"/>
        </w:rPr>
      </w:pPr>
    </w:p>
    <w:p w:rsidR="00707F6D" w:rsidRDefault="00707F6D" w:rsidP="002A0063">
      <w:pPr>
        <w:rPr>
          <w:i/>
          <w:sz w:val="22"/>
          <w:szCs w:val="22"/>
        </w:rPr>
      </w:pPr>
    </w:p>
    <w:sectPr w:rsidR="00707F6D" w:rsidSect="00B24E6A">
      <w:footnotePr>
        <w:pos w:val="beneathText"/>
      </w:footnotePr>
      <w:pgSz w:w="11906" w:h="16838"/>
      <w:pgMar w:top="1418" w:right="1418"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99" w:rsidRDefault="00D77C99" w:rsidP="00652D6D">
      <w:r>
        <w:separator/>
      </w:r>
    </w:p>
  </w:endnote>
  <w:endnote w:type="continuationSeparator" w:id="0">
    <w:p w:rsidR="00D77C99" w:rsidRDefault="00D77C99"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171505"/>
      <w:docPartObj>
        <w:docPartGallery w:val="Page Numbers (Bottom of Page)"/>
        <w:docPartUnique/>
      </w:docPartObj>
    </w:sdtPr>
    <w:sdtEndPr/>
    <w:sdtContent>
      <w:p w:rsidR="00D77C99" w:rsidRDefault="00D77C99">
        <w:pPr>
          <w:pStyle w:val="Stopka"/>
          <w:jc w:val="right"/>
        </w:pPr>
        <w:r>
          <w:rPr>
            <w:sz w:val="16"/>
            <w:szCs w:val="16"/>
          </w:rPr>
          <w:fldChar w:fldCharType="begin"/>
        </w:r>
        <w:r>
          <w:rPr>
            <w:sz w:val="16"/>
            <w:szCs w:val="16"/>
          </w:rPr>
          <w:instrText>PAGE</w:instrText>
        </w:r>
        <w:r>
          <w:rPr>
            <w:sz w:val="16"/>
            <w:szCs w:val="16"/>
          </w:rPr>
          <w:fldChar w:fldCharType="separate"/>
        </w:r>
        <w:r w:rsidR="00AC0060">
          <w:rPr>
            <w:noProof/>
            <w:sz w:val="16"/>
            <w:szCs w:val="16"/>
          </w:rPr>
          <w:t>8</w:t>
        </w:r>
        <w:r>
          <w:rPr>
            <w:sz w:val="16"/>
            <w:szCs w:val="16"/>
          </w:rPr>
          <w:fldChar w:fldCharType="end"/>
        </w:r>
      </w:p>
      <w:p w:rsidR="00D77C99" w:rsidRDefault="00AC0060">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99" w:rsidRDefault="00D77C99" w:rsidP="00652D6D">
      <w:r>
        <w:separator/>
      </w:r>
    </w:p>
  </w:footnote>
  <w:footnote w:type="continuationSeparator" w:id="0">
    <w:p w:rsidR="00D77C99" w:rsidRDefault="00D77C99"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99" w:rsidRPr="0056339D" w:rsidRDefault="00D77C99" w:rsidP="0056339D">
    <w:pPr>
      <w:pStyle w:val="Nagwek0"/>
      <w:jc w:val="right"/>
      <w:rPr>
        <w:sz w:val="20"/>
      </w:rPr>
    </w:pPr>
    <w:r>
      <w:rPr>
        <w:sz w:val="20"/>
      </w:rPr>
      <w:t>Zp/</w:t>
    </w:r>
    <w:r w:rsidR="00787A5B">
      <w:rPr>
        <w:sz w:val="20"/>
      </w:rPr>
      <w:t>60</w:t>
    </w:r>
    <w:r>
      <w:rPr>
        <w:sz w:val="20"/>
      </w:rPr>
      <w:t>/TP/22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7"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3"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2"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3"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1B2EA4"/>
    <w:multiLevelType w:val="hybridMultilevel"/>
    <w:tmpl w:val="6BFC4328"/>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2"/>
  </w:num>
  <w:num w:numId="8">
    <w:abstractNumId w:val="14"/>
  </w:num>
  <w:num w:numId="9">
    <w:abstractNumId w:val="25"/>
  </w:num>
  <w:num w:numId="10">
    <w:abstractNumId w:val="11"/>
  </w:num>
  <w:num w:numId="11">
    <w:abstractNumId w:val="16"/>
  </w:num>
  <w:num w:numId="12">
    <w:abstractNumId w:val="15"/>
  </w:num>
  <w:num w:numId="13">
    <w:abstractNumId w:val="7"/>
  </w:num>
  <w:num w:numId="14">
    <w:abstractNumId w:val="17"/>
  </w:num>
  <w:num w:numId="15">
    <w:abstractNumId w:val="19"/>
  </w:num>
  <w:num w:numId="16">
    <w:abstractNumId w:val="9"/>
  </w:num>
  <w:num w:numId="17">
    <w:abstractNumId w:val="23"/>
  </w:num>
  <w:num w:numId="18">
    <w:abstractNumId w:val="5"/>
  </w:num>
  <w:num w:numId="19">
    <w:abstractNumId w:val="22"/>
  </w:num>
  <w:num w:numId="20">
    <w:abstractNumId w:val="6"/>
  </w:num>
  <w:num w:numId="21">
    <w:abstractNumId w:val="20"/>
  </w:num>
  <w:num w:numId="22">
    <w:abstractNumId w:val="18"/>
  </w:num>
  <w:num w:numId="23">
    <w:abstractNumId w:val="8"/>
  </w:num>
  <w:num w:numId="24">
    <w:abstractNumId w:val="24"/>
  </w:num>
  <w:num w:numId="25">
    <w:abstractNumId w:val="10"/>
  </w:num>
  <w:num w:numId="26">
    <w:abstractNumId w:val="13"/>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1369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6285"/>
    <w:rsid w:val="0002716A"/>
    <w:rsid w:val="00027ADA"/>
    <w:rsid w:val="00027C88"/>
    <w:rsid w:val="00030428"/>
    <w:rsid w:val="00030CDB"/>
    <w:rsid w:val="00030EFB"/>
    <w:rsid w:val="00031D01"/>
    <w:rsid w:val="000320F1"/>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2C4"/>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3FB"/>
    <w:rsid w:val="0005482E"/>
    <w:rsid w:val="0005489C"/>
    <w:rsid w:val="00055858"/>
    <w:rsid w:val="00055FEF"/>
    <w:rsid w:val="000562F6"/>
    <w:rsid w:val="00056684"/>
    <w:rsid w:val="000569E6"/>
    <w:rsid w:val="00056E70"/>
    <w:rsid w:val="000572A7"/>
    <w:rsid w:val="0005740C"/>
    <w:rsid w:val="000577B9"/>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6C8"/>
    <w:rsid w:val="00087C27"/>
    <w:rsid w:val="000902AE"/>
    <w:rsid w:val="0009039F"/>
    <w:rsid w:val="000909D0"/>
    <w:rsid w:val="00090BC8"/>
    <w:rsid w:val="00090CEA"/>
    <w:rsid w:val="000915FA"/>
    <w:rsid w:val="0009187E"/>
    <w:rsid w:val="000918B1"/>
    <w:rsid w:val="00091BB7"/>
    <w:rsid w:val="00091C48"/>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1763"/>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0754"/>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D06"/>
    <w:rsid w:val="000C41B3"/>
    <w:rsid w:val="000C45C2"/>
    <w:rsid w:val="000C46AE"/>
    <w:rsid w:val="000C57E0"/>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A32"/>
    <w:rsid w:val="000E6EEE"/>
    <w:rsid w:val="000E7366"/>
    <w:rsid w:val="000E7FF0"/>
    <w:rsid w:val="000F03DD"/>
    <w:rsid w:val="000F0862"/>
    <w:rsid w:val="000F0E7E"/>
    <w:rsid w:val="000F1356"/>
    <w:rsid w:val="000F1362"/>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6E88"/>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97B"/>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0C02"/>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0FF2"/>
    <w:rsid w:val="001C1BFD"/>
    <w:rsid w:val="001C1C1D"/>
    <w:rsid w:val="001C1D32"/>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4DB7"/>
    <w:rsid w:val="00205209"/>
    <w:rsid w:val="00205716"/>
    <w:rsid w:val="00205B56"/>
    <w:rsid w:val="00205FEB"/>
    <w:rsid w:val="00206CBE"/>
    <w:rsid w:val="00207449"/>
    <w:rsid w:val="00207AF0"/>
    <w:rsid w:val="00207B5B"/>
    <w:rsid w:val="00207BF6"/>
    <w:rsid w:val="00210355"/>
    <w:rsid w:val="00210412"/>
    <w:rsid w:val="002105A4"/>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51D"/>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4165"/>
    <w:rsid w:val="0026416A"/>
    <w:rsid w:val="00264BB9"/>
    <w:rsid w:val="002650F3"/>
    <w:rsid w:val="002651B7"/>
    <w:rsid w:val="002653D9"/>
    <w:rsid w:val="00265A58"/>
    <w:rsid w:val="00265A6F"/>
    <w:rsid w:val="00266B69"/>
    <w:rsid w:val="00267559"/>
    <w:rsid w:val="00267739"/>
    <w:rsid w:val="00267C03"/>
    <w:rsid w:val="00270302"/>
    <w:rsid w:val="00270972"/>
    <w:rsid w:val="00270F50"/>
    <w:rsid w:val="002713F1"/>
    <w:rsid w:val="0027195B"/>
    <w:rsid w:val="00271A36"/>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97D"/>
    <w:rsid w:val="00297C4F"/>
    <w:rsid w:val="002A0028"/>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2E5"/>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A8B"/>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0C3E"/>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3F1"/>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415F"/>
    <w:rsid w:val="003541B8"/>
    <w:rsid w:val="00354731"/>
    <w:rsid w:val="00354908"/>
    <w:rsid w:val="00354BB9"/>
    <w:rsid w:val="003552AF"/>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53C1"/>
    <w:rsid w:val="003753ED"/>
    <w:rsid w:val="00375454"/>
    <w:rsid w:val="0037571A"/>
    <w:rsid w:val="003758B3"/>
    <w:rsid w:val="003761C0"/>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C74"/>
    <w:rsid w:val="00381D1B"/>
    <w:rsid w:val="00381F75"/>
    <w:rsid w:val="0038272B"/>
    <w:rsid w:val="0038389A"/>
    <w:rsid w:val="00383ECE"/>
    <w:rsid w:val="00383FFD"/>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E53"/>
    <w:rsid w:val="003B4F85"/>
    <w:rsid w:val="003B5151"/>
    <w:rsid w:val="003B5B30"/>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57AF"/>
    <w:rsid w:val="003E5D4F"/>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066"/>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2B2"/>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58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3BD"/>
    <w:rsid w:val="0049585A"/>
    <w:rsid w:val="00495C30"/>
    <w:rsid w:val="00496CB1"/>
    <w:rsid w:val="00496D4A"/>
    <w:rsid w:val="00496FBD"/>
    <w:rsid w:val="004972E8"/>
    <w:rsid w:val="00497F5A"/>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1DD"/>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78F"/>
    <w:rsid w:val="004D0B06"/>
    <w:rsid w:val="004D0B90"/>
    <w:rsid w:val="004D0E02"/>
    <w:rsid w:val="004D0F25"/>
    <w:rsid w:val="004D1031"/>
    <w:rsid w:val="004D10A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1E3A"/>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0D"/>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557"/>
    <w:rsid w:val="0052668B"/>
    <w:rsid w:val="005268D1"/>
    <w:rsid w:val="00526C76"/>
    <w:rsid w:val="00526D32"/>
    <w:rsid w:val="005276B9"/>
    <w:rsid w:val="00527D81"/>
    <w:rsid w:val="00527F7F"/>
    <w:rsid w:val="00530275"/>
    <w:rsid w:val="00530512"/>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F31"/>
    <w:rsid w:val="00541F45"/>
    <w:rsid w:val="005420CD"/>
    <w:rsid w:val="00542341"/>
    <w:rsid w:val="00542412"/>
    <w:rsid w:val="00542D7F"/>
    <w:rsid w:val="00542DC1"/>
    <w:rsid w:val="00543082"/>
    <w:rsid w:val="00543654"/>
    <w:rsid w:val="00543A39"/>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9A1"/>
    <w:rsid w:val="00565EF8"/>
    <w:rsid w:val="00566AE5"/>
    <w:rsid w:val="00566E11"/>
    <w:rsid w:val="00567938"/>
    <w:rsid w:val="005701D2"/>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280"/>
    <w:rsid w:val="005873F8"/>
    <w:rsid w:val="00587462"/>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976AB"/>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87"/>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13C"/>
    <w:rsid w:val="00601A4B"/>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0A"/>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3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9C8"/>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24D0"/>
    <w:rsid w:val="006B2A48"/>
    <w:rsid w:val="006B2ADB"/>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CFE"/>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5B9D"/>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2F41"/>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E8D"/>
    <w:rsid w:val="00717F93"/>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2D5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77F12"/>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87A5B"/>
    <w:rsid w:val="00790B68"/>
    <w:rsid w:val="00790F31"/>
    <w:rsid w:val="00790FC6"/>
    <w:rsid w:val="00791DDE"/>
    <w:rsid w:val="007921D5"/>
    <w:rsid w:val="00792611"/>
    <w:rsid w:val="007928DE"/>
    <w:rsid w:val="00792A39"/>
    <w:rsid w:val="00793219"/>
    <w:rsid w:val="007939B9"/>
    <w:rsid w:val="00793DEE"/>
    <w:rsid w:val="00793EE9"/>
    <w:rsid w:val="0079499C"/>
    <w:rsid w:val="00794EEE"/>
    <w:rsid w:val="0079524D"/>
    <w:rsid w:val="0079533A"/>
    <w:rsid w:val="00797FC2"/>
    <w:rsid w:val="007A0621"/>
    <w:rsid w:val="007A08DD"/>
    <w:rsid w:val="007A1187"/>
    <w:rsid w:val="007A12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4A4"/>
    <w:rsid w:val="007C4941"/>
    <w:rsid w:val="007C49F4"/>
    <w:rsid w:val="007C4B38"/>
    <w:rsid w:val="007C4F33"/>
    <w:rsid w:val="007C4F5D"/>
    <w:rsid w:val="007C5074"/>
    <w:rsid w:val="007C52B9"/>
    <w:rsid w:val="007C5392"/>
    <w:rsid w:val="007C5628"/>
    <w:rsid w:val="007C5948"/>
    <w:rsid w:val="007C5B2F"/>
    <w:rsid w:val="007C66B9"/>
    <w:rsid w:val="007C6E66"/>
    <w:rsid w:val="007D0251"/>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716"/>
    <w:rsid w:val="007D63BF"/>
    <w:rsid w:val="007D673E"/>
    <w:rsid w:val="007D6ADF"/>
    <w:rsid w:val="007D7124"/>
    <w:rsid w:val="007D76B6"/>
    <w:rsid w:val="007D77BC"/>
    <w:rsid w:val="007D7DE9"/>
    <w:rsid w:val="007E084C"/>
    <w:rsid w:val="007E0A6A"/>
    <w:rsid w:val="007E0FEC"/>
    <w:rsid w:val="007E15A6"/>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E7926"/>
    <w:rsid w:val="007F0095"/>
    <w:rsid w:val="007F0216"/>
    <w:rsid w:val="007F02CE"/>
    <w:rsid w:val="007F0821"/>
    <w:rsid w:val="007F152F"/>
    <w:rsid w:val="007F1664"/>
    <w:rsid w:val="007F17BB"/>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4E94"/>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303F9"/>
    <w:rsid w:val="0083040D"/>
    <w:rsid w:val="00830A72"/>
    <w:rsid w:val="00830EAF"/>
    <w:rsid w:val="008324C2"/>
    <w:rsid w:val="008325F6"/>
    <w:rsid w:val="00832AF5"/>
    <w:rsid w:val="00832BE2"/>
    <w:rsid w:val="00832D64"/>
    <w:rsid w:val="00833821"/>
    <w:rsid w:val="00833A45"/>
    <w:rsid w:val="00833E4F"/>
    <w:rsid w:val="00833FB1"/>
    <w:rsid w:val="0083488F"/>
    <w:rsid w:val="00834B52"/>
    <w:rsid w:val="00834B68"/>
    <w:rsid w:val="008356A6"/>
    <w:rsid w:val="00835AE2"/>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693"/>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988"/>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5D0A"/>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F81"/>
    <w:rsid w:val="008A0593"/>
    <w:rsid w:val="008A0626"/>
    <w:rsid w:val="008A0800"/>
    <w:rsid w:val="008A110F"/>
    <w:rsid w:val="008A124C"/>
    <w:rsid w:val="008A1276"/>
    <w:rsid w:val="008A140F"/>
    <w:rsid w:val="008A178F"/>
    <w:rsid w:val="008A17E8"/>
    <w:rsid w:val="008A1D44"/>
    <w:rsid w:val="008A2A4B"/>
    <w:rsid w:val="008A2B06"/>
    <w:rsid w:val="008A3121"/>
    <w:rsid w:val="008A31BE"/>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07F"/>
    <w:rsid w:val="008B5200"/>
    <w:rsid w:val="008B5A00"/>
    <w:rsid w:val="008B5FBF"/>
    <w:rsid w:val="008B6620"/>
    <w:rsid w:val="008B67E2"/>
    <w:rsid w:val="008B6B3E"/>
    <w:rsid w:val="008B6DF1"/>
    <w:rsid w:val="008B78EB"/>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884"/>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0E5"/>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5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C2A"/>
    <w:rsid w:val="00951430"/>
    <w:rsid w:val="00951528"/>
    <w:rsid w:val="00951753"/>
    <w:rsid w:val="00951DF4"/>
    <w:rsid w:val="00952217"/>
    <w:rsid w:val="00952E0C"/>
    <w:rsid w:val="00952FAB"/>
    <w:rsid w:val="0095310F"/>
    <w:rsid w:val="00953240"/>
    <w:rsid w:val="009533F9"/>
    <w:rsid w:val="00953A56"/>
    <w:rsid w:val="00953B43"/>
    <w:rsid w:val="009540D5"/>
    <w:rsid w:val="00954333"/>
    <w:rsid w:val="009549AE"/>
    <w:rsid w:val="009549D2"/>
    <w:rsid w:val="00954A86"/>
    <w:rsid w:val="00954C01"/>
    <w:rsid w:val="009554CF"/>
    <w:rsid w:val="009557BE"/>
    <w:rsid w:val="009557DF"/>
    <w:rsid w:val="00955E59"/>
    <w:rsid w:val="00956AF1"/>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9E"/>
    <w:rsid w:val="00963CFE"/>
    <w:rsid w:val="00964318"/>
    <w:rsid w:val="00964368"/>
    <w:rsid w:val="009645A8"/>
    <w:rsid w:val="009657BC"/>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1B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DF2"/>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A0004D"/>
    <w:rsid w:val="00A00534"/>
    <w:rsid w:val="00A00737"/>
    <w:rsid w:val="00A0082A"/>
    <w:rsid w:val="00A00F9A"/>
    <w:rsid w:val="00A02382"/>
    <w:rsid w:val="00A02897"/>
    <w:rsid w:val="00A03109"/>
    <w:rsid w:val="00A032DC"/>
    <w:rsid w:val="00A039AD"/>
    <w:rsid w:val="00A03A00"/>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C8A"/>
    <w:rsid w:val="00A37E45"/>
    <w:rsid w:val="00A40326"/>
    <w:rsid w:val="00A40C18"/>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508C"/>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458"/>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0B"/>
    <w:rsid w:val="00A65C28"/>
    <w:rsid w:val="00A66160"/>
    <w:rsid w:val="00A66349"/>
    <w:rsid w:val="00A6702E"/>
    <w:rsid w:val="00A672A2"/>
    <w:rsid w:val="00A674E9"/>
    <w:rsid w:val="00A677C3"/>
    <w:rsid w:val="00A67A46"/>
    <w:rsid w:val="00A70527"/>
    <w:rsid w:val="00A7078C"/>
    <w:rsid w:val="00A7095E"/>
    <w:rsid w:val="00A709BA"/>
    <w:rsid w:val="00A709D1"/>
    <w:rsid w:val="00A70E74"/>
    <w:rsid w:val="00A70EFE"/>
    <w:rsid w:val="00A7187D"/>
    <w:rsid w:val="00A718E2"/>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7B5"/>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737"/>
    <w:rsid w:val="00A96ADB"/>
    <w:rsid w:val="00A96BB8"/>
    <w:rsid w:val="00A97ACC"/>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0A7"/>
    <w:rsid w:val="00AA630C"/>
    <w:rsid w:val="00AA64FA"/>
    <w:rsid w:val="00AA663B"/>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060"/>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E2A"/>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1C4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AF"/>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51F2"/>
    <w:rsid w:val="00B056A0"/>
    <w:rsid w:val="00B057EE"/>
    <w:rsid w:val="00B05BD0"/>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4E6A"/>
    <w:rsid w:val="00B25097"/>
    <w:rsid w:val="00B25120"/>
    <w:rsid w:val="00B2512F"/>
    <w:rsid w:val="00B25376"/>
    <w:rsid w:val="00B254FF"/>
    <w:rsid w:val="00B255F7"/>
    <w:rsid w:val="00B25F65"/>
    <w:rsid w:val="00B2629F"/>
    <w:rsid w:val="00B265F7"/>
    <w:rsid w:val="00B26906"/>
    <w:rsid w:val="00B2748C"/>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CF3"/>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08B"/>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81B"/>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5CB"/>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5DA7"/>
    <w:rsid w:val="00BE60CE"/>
    <w:rsid w:val="00BE6114"/>
    <w:rsid w:val="00BE6854"/>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1CD"/>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6254"/>
    <w:rsid w:val="00C1637D"/>
    <w:rsid w:val="00C1673A"/>
    <w:rsid w:val="00C17162"/>
    <w:rsid w:val="00C17239"/>
    <w:rsid w:val="00C172FE"/>
    <w:rsid w:val="00C173FD"/>
    <w:rsid w:val="00C17DE7"/>
    <w:rsid w:val="00C20296"/>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D62"/>
    <w:rsid w:val="00C27042"/>
    <w:rsid w:val="00C27559"/>
    <w:rsid w:val="00C3017C"/>
    <w:rsid w:val="00C301D8"/>
    <w:rsid w:val="00C30659"/>
    <w:rsid w:val="00C306AE"/>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8D3"/>
    <w:rsid w:val="00C37EAF"/>
    <w:rsid w:val="00C40128"/>
    <w:rsid w:val="00C40145"/>
    <w:rsid w:val="00C402C8"/>
    <w:rsid w:val="00C40F29"/>
    <w:rsid w:val="00C411E6"/>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3C4E"/>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2C0A"/>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683"/>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60E"/>
    <w:rsid w:val="00CD28CA"/>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4D96"/>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5FEF"/>
    <w:rsid w:val="00D06028"/>
    <w:rsid w:val="00D0640F"/>
    <w:rsid w:val="00D0646F"/>
    <w:rsid w:val="00D06717"/>
    <w:rsid w:val="00D06785"/>
    <w:rsid w:val="00D06B5E"/>
    <w:rsid w:val="00D06C38"/>
    <w:rsid w:val="00D07944"/>
    <w:rsid w:val="00D1028D"/>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3DD"/>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77C99"/>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0D90"/>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12"/>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4E30"/>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5E49"/>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171"/>
    <w:rsid w:val="00E72201"/>
    <w:rsid w:val="00E73101"/>
    <w:rsid w:val="00E731D3"/>
    <w:rsid w:val="00E73217"/>
    <w:rsid w:val="00E734DC"/>
    <w:rsid w:val="00E73688"/>
    <w:rsid w:val="00E736EE"/>
    <w:rsid w:val="00E73932"/>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B00"/>
    <w:rsid w:val="00EA403D"/>
    <w:rsid w:val="00EA41DB"/>
    <w:rsid w:val="00EA46D7"/>
    <w:rsid w:val="00EA47D7"/>
    <w:rsid w:val="00EA480F"/>
    <w:rsid w:val="00EA4BF2"/>
    <w:rsid w:val="00EA4D4A"/>
    <w:rsid w:val="00EA5446"/>
    <w:rsid w:val="00EA56F2"/>
    <w:rsid w:val="00EA6027"/>
    <w:rsid w:val="00EA6589"/>
    <w:rsid w:val="00EA684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3DC"/>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135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32C"/>
    <w:rsid w:val="00F56795"/>
    <w:rsid w:val="00F56807"/>
    <w:rsid w:val="00F56F3B"/>
    <w:rsid w:val="00F577CE"/>
    <w:rsid w:val="00F57C1B"/>
    <w:rsid w:val="00F60724"/>
    <w:rsid w:val="00F60C62"/>
    <w:rsid w:val="00F60D0F"/>
    <w:rsid w:val="00F60FF3"/>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95A"/>
    <w:rsid w:val="00FC4D1A"/>
    <w:rsid w:val="00FC4E9C"/>
    <w:rsid w:val="00FC5830"/>
    <w:rsid w:val="00FC5A43"/>
    <w:rsid w:val="00FC6789"/>
    <w:rsid w:val="00FC6C7A"/>
    <w:rsid w:val="00FC6D4B"/>
    <w:rsid w:val="00FC7060"/>
    <w:rsid w:val="00FC75B9"/>
    <w:rsid w:val="00FC75D1"/>
    <w:rsid w:val="00FC7663"/>
    <w:rsid w:val="00FC78C4"/>
    <w:rsid w:val="00FD042E"/>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A24"/>
    <w:rsid w:val="00FE5D32"/>
    <w:rsid w:val="00FE6AA7"/>
    <w:rsid w:val="00FE78D9"/>
    <w:rsid w:val="00FE7CC8"/>
    <w:rsid w:val="00FE7D05"/>
    <w:rsid w:val="00FF0737"/>
    <w:rsid w:val="00FF07E0"/>
    <w:rsid w:val="00FF08AE"/>
    <w:rsid w:val="00FF0BEB"/>
    <w:rsid w:val="00FF0CF4"/>
    <w:rsid w:val="00FF1C46"/>
    <w:rsid w:val="00FF20A4"/>
    <w:rsid w:val="00FF2262"/>
    <w:rsid w:val="00FF26B3"/>
    <w:rsid w:val="00FF27A0"/>
    <w:rsid w:val="00FF2882"/>
    <w:rsid w:val="00FF32DC"/>
    <w:rsid w:val="00FF37B0"/>
    <w:rsid w:val="00FF3B41"/>
    <w:rsid w:val="00FF3DA9"/>
    <w:rsid w:val="00FF3F46"/>
    <w:rsid w:val="00FF4A2C"/>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3697"/>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1E2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0782847">
      <w:bodyDiv w:val="1"/>
      <w:marLeft w:val="0"/>
      <w:marRight w:val="0"/>
      <w:marTop w:val="0"/>
      <w:marBottom w:val="0"/>
      <w:divBdr>
        <w:top w:val="none" w:sz="0" w:space="0" w:color="auto"/>
        <w:left w:val="none" w:sz="0" w:space="0" w:color="auto"/>
        <w:bottom w:val="none" w:sz="0" w:space="0" w:color="auto"/>
        <w:right w:val="none" w:sz="0" w:space="0" w:color="auto"/>
      </w:divBdr>
    </w:div>
    <w:div w:id="1744988491">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10961-0841-45D2-953A-80D5EC61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21768</TotalTime>
  <Pages>8</Pages>
  <Words>2347</Words>
  <Characters>14084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6490</cp:revision>
  <cp:lastPrinted>2022-07-20T08:48:00Z</cp:lastPrinted>
  <dcterms:created xsi:type="dcterms:W3CDTF">2018-02-06T12:57:00Z</dcterms:created>
  <dcterms:modified xsi:type="dcterms:W3CDTF">2022-09-12T08:59:00Z</dcterms:modified>
</cp:coreProperties>
</file>